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0"/>
        <w:jc w:val="center"/>
      </w:pPr>
      <w:bookmarkStart w:id="0" w:name="_GoBack"/>
      <w:bookmarkEnd w:id="0"/>
      <w:r>
        <w:rPr>
          <w:rFonts w:hint="eastAsia"/>
        </w:rPr>
        <w:t>宁波市环境保护产业协会会员单位</w:t>
      </w:r>
    </w:p>
    <w:p>
      <w:pPr>
        <w:jc w:val="center"/>
        <w:rPr>
          <w:b/>
          <w:sz w:val="44"/>
          <w:szCs w:val="44"/>
        </w:rPr>
      </w:pPr>
      <w:r>
        <w:rPr>
          <w:rFonts w:hint="eastAsia"/>
          <w:b/>
          <w:sz w:val="44"/>
          <w:szCs w:val="44"/>
        </w:rPr>
        <w:t>信用评价管理办法</w:t>
      </w:r>
      <w:r>
        <w:rPr>
          <w:rFonts w:hint="eastAsia" w:eastAsia="楷体_GB2312"/>
          <w:sz w:val="40"/>
          <w:szCs w:val="32"/>
        </w:rPr>
        <w:t>(</w:t>
      </w:r>
      <w:r>
        <w:rPr>
          <w:rFonts w:hint="eastAsia"/>
          <w:b/>
          <w:bCs/>
          <w:kern w:val="44"/>
          <w:sz w:val="44"/>
          <w:szCs w:val="44"/>
        </w:rPr>
        <w:t>试行版</w:t>
      </w:r>
      <w:r>
        <w:rPr>
          <w:rFonts w:hint="eastAsia" w:eastAsia="楷体_GB2312"/>
          <w:sz w:val="40"/>
          <w:szCs w:val="32"/>
        </w:rPr>
        <w:t>)</w:t>
      </w:r>
    </w:p>
    <w:p>
      <w:pPr>
        <w:spacing w:after="312" w:afterLines="100"/>
        <w:jc w:val="center"/>
        <w:outlineLvl w:val="0"/>
        <w:rPr>
          <w:rFonts w:eastAsia="楷体_GB2312"/>
          <w:sz w:val="32"/>
          <w:szCs w:val="32"/>
        </w:rPr>
      </w:pPr>
      <w:r>
        <w:rPr>
          <w:rFonts w:hint="eastAsia" w:eastAsia="楷体_GB2312"/>
          <w:sz w:val="32"/>
          <w:szCs w:val="32"/>
        </w:rPr>
        <w:t>（</w:t>
      </w:r>
      <w:r>
        <w:rPr>
          <w:rFonts w:eastAsia="楷体_GB2312"/>
          <w:sz w:val="32"/>
          <w:szCs w:val="32"/>
        </w:rPr>
        <w:t>2021</w:t>
      </w:r>
      <w:r>
        <w:rPr>
          <w:rFonts w:hint="eastAsia" w:eastAsia="楷体_GB2312"/>
          <w:sz w:val="32"/>
          <w:szCs w:val="32"/>
        </w:rPr>
        <w:t>年版）</w:t>
      </w:r>
    </w:p>
    <w:p>
      <w:pPr>
        <w:widowControl/>
        <w:numPr>
          <w:ilvl w:val="0"/>
          <w:numId w:val="1"/>
        </w:numPr>
        <w:shd w:val="clear" w:color="auto" w:fill="FFFFFF"/>
        <w:spacing w:line="360" w:lineRule="atLeast"/>
        <w:jc w:val="center"/>
        <w:rPr>
          <w:rFonts w:ascii="仿宋_GB2312" w:hAnsi="宋体" w:eastAsia="仿宋_GB2312" w:cs="宋体"/>
          <w:kern w:val="0"/>
          <w:sz w:val="32"/>
          <w:szCs w:val="28"/>
        </w:rPr>
      </w:pPr>
      <w:r>
        <w:rPr>
          <w:rFonts w:hint="eastAsia" w:ascii="仿宋_GB2312" w:hAnsi="仿宋" w:eastAsia="仿宋_GB2312"/>
          <w:b/>
          <w:sz w:val="32"/>
          <w:szCs w:val="28"/>
        </w:rPr>
        <w:t xml:space="preserve"> 总则</w:t>
      </w:r>
    </w:p>
    <w:p>
      <w:pPr>
        <w:widowControl/>
        <w:shd w:val="clear" w:color="auto" w:fill="FFFFFF"/>
        <w:spacing w:line="360" w:lineRule="atLeast"/>
        <w:ind w:firstLine="643" w:firstLineChars="200"/>
        <w:rPr>
          <w:rFonts w:ascii="仿宋_GB2312" w:hAnsi="宋体" w:eastAsia="仿宋_GB2312" w:cs="宋体"/>
          <w:kern w:val="0"/>
          <w:sz w:val="32"/>
          <w:szCs w:val="28"/>
        </w:rPr>
      </w:pPr>
      <w:r>
        <w:rPr>
          <w:rFonts w:hint="eastAsia" w:ascii="仿宋_GB2312" w:hAnsi="楷体" w:eastAsia="仿宋_GB2312" w:cs="宋体"/>
          <w:b/>
          <w:kern w:val="0"/>
          <w:sz w:val="32"/>
          <w:szCs w:val="28"/>
        </w:rPr>
        <w:t xml:space="preserve">第一条 </w:t>
      </w:r>
      <w:r>
        <w:rPr>
          <w:rFonts w:hint="eastAsia" w:ascii="仿宋_GB2312" w:hAnsi="仿宋" w:eastAsia="仿宋_GB2312" w:cs="宋体"/>
          <w:sz w:val="32"/>
          <w:szCs w:val="28"/>
        </w:rPr>
        <w:t>为</w:t>
      </w:r>
      <w:r>
        <w:rPr>
          <w:rFonts w:hint="eastAsia" w:ascii="仿宋_GB2312" w:hAnsi="仿宋" w:eastAsia="仿宋_GB2312" w:cs="宋体"/>
          <w:kern w:val="0"/>
          <w:sz w:val="32"/>
          <w:szCs w:val="28"/>
        </w:rPr>
        <w:t>提高企业诚信和风险防范意识，加强企业自律，提高企业信用水平，</w:t>
      </w:r>
      <w:r>
        <w:rPr>
          <w:rFonts w:hint="eastAsia" w:ascii="仿宋_GB2312" w:hAnsi="仿宋" w:eastAsia="仿宋_GB2312" w:cs="宋体"/>
          <w:sz w:val="32"/>
          <w:szCs w:val="28"/>
        </w:rPr>
        <w:t>规范环保行业信用秩序，营造“守信光荣、失信可耻”的行业信用环境，树立环保产业良好形象，</w:t>
      </w:r>
      <w:r>
        <w:rPr>
          <w:rFonts w:hint="eastAsia" w:ascii="仿宋_GB2312" w:hAnsi="仿宋" w:eastAsia="仿宋_GB2312" w:cs="宋体"/>
          <w:kern w:val="0"/>
          <w:sz w:val="32"/>
          <w:szCs w:val="28"/>
        </w:rPr>
        <w:t>促进行业健康发展</w:t>
      </w:r>
      <w:r>
        <w:rPr>
          <w:rFonts w:hint="eastAsia" w:ascii="仿宋_GB2312" w:hAnsi="仿宋" w:eastAsia="仿宋_GB2312" w:cs="宋体"/>
          <w:sz w:val="32"/>
          <w:szCs w:val="28"/>
        </w:rPr>
        <w:t>，依据国家相关法律法规，开展宁波市环境保护产业协会（以下简称协会）会员单位信用评价工作，特制定本办法。</w:t>
      </w:r>
      <w:r>
        <w:rPr>
          <w:rFonts w:hint="eastAsia" w:ascii="仿宋_GB2312" w:hAnsi="宋体" w:eastAsia="仿宋_GB2312" w:cs="宋体"/>
          <w:kern w:val="0"/>
          <w:sz w:val="32"/>
          <w:szCs w:val="28"/>
        </w:rPr>
        <w:t> </w:t>
      </w:r>
    </w:p>
    <w:p>
      <w:pPr>
        <w:widowControl/>
        <w:shd w:val="clear" w:color="auto" w:fill="FFFFFF"/>
        <w:spacing w:line="360" w:lineRule="atLeast"/>
        <w:ind w:firstLine="643" w:firstLineChars="200"/>
        <w:rPr>
          <w:rFonts w:ascii="仿宋_GB2312" w:hAnsi="宋体" w:eastAsia="仿宋_GB2312" w:cs="宋体"/>
          <w:kern w:val="0"/>
          <w:sz w:val="32"/>
          <w:szCs w:val="28"/>
        </w:rPr>
      </w:pPr>
      <w:r>
        <w:rPr>
          <w:rFonts w:hint="eastAsia" w:ascii="仿宋_GB2312" w:hAnsi="仿宋" w:eastAsia="仿宋_GB2312" w:cs="宋体"/>
          <w:b/>
          <w:kern w:val="0"/>
          <w:sz w:val="32"/>
          <w:szCs w:val="28"/>
        </w:rPr>
        <w:t xml:space="preserve">第二条 </w:t>
      </w:r>
      <w:r>
        <w:rPr>
          <w:rFonts w:hint="eastAsia" w:ascii="仿宋_GB2312" w:hAnsi="仿宋" w:eastAsia="仿宋_GB2312" w:cs="宋体"/>
          <w:kern w:val="0"/>
          <w:sz w:val="32"/>
          <w:szCs w:val="28"/>
        </w:rPr>
        <w:t>会员单位信用评价，是依据有关法规政策，参照我国信用评价惯例，并结合市场经济发展和环保产业实际特点，制定会员单位信用评价指标体系，并按照一定程序，经过科学、合理、权威的综合评价，确定其信用等级并予公示的一种制度。</w:t>
      </w:r>
    </w:p>
    <w:p>
      <w:pPr>
        <w:widowControl/>
        <w:shd w:val="clear" w:color="auto" w:fill="FFFFFF"/>
        <w:spacing w:line="360" w:lineRule="atLeast"/>
        <w:ind w:firstLine="643" w:firstLineChars="200"/>
        <w:rPr>
          <w:rFonts w:ascii="仿宋_GB2312" w:hAnsi="宋体" w:eastAsia="仿宋_GB2312" w:cs="宋体"/>
          <w:kern w:val="0"/>
          <w:sz w:val="32"/>
          <w:szCs w:val="28"/>
        </w:rPr>
      </w:pPr>
      <w:r>
        <w:rPr>
          <w:rFonts w:hint="eastAsia" w:ascii="仿宋_GB2312" w:hAnsi="楷体" w:eastAsia="仿宋_GB2312" w:cs="宋体"/>
          <w:b/>
          <w:kern w:val="0"/>
          <w:sz w:val="32"/>
          <w:szCs w:val="28"/>
        </w:rPr>
        <w:t xml:space="preserve">第三条  </w:t>
      </w:r>
      <w:r>
        <w:rPr>
          <w:rFonts w:hint="eastAsia" w:ascii="仿宋_GB2312" w:hAnsi="仿宋" w:eastAsia="仿宋_GB2312" w:cs="宋体"/>
          <w:kern w:val="0"/>
          <w:sz w:val="32"/>
          <w:szCs w:val="28"/>
        </w:rPr>
        <w:t>信用评价应贯彻以下原则：</w:t>
      </w:r>
    </w:p>
    <w:p>
      <w:pPr>
        <w:widowControl/>
        <w:shd w:val="clear" w:color="auto" w:fill="FFFFFF"/>
        <w:spacing w:line="360" w:lineRule="atLeast"/>
        <w:ind w:firstLine="640" w:firstLineChars="200"/>
        <w:rPr>
          <w:rFonts w:ascii="仿宋_GB2312" w:hAnsi="宋体" w:eastAsia="仿宋_GB2312" w:cs="宋体"/>
          <w:kern w:val="0"/>
          <w:sz w:val="32"/>
          <w:szCs w:val="28"/>
        </w:rPr>
      </w:pPr>
      <w:r>
        <w:rPr>
          <w:rFonts w:hint="eastAsia" w:ascii="仿宋_GB2312" w:hAnsi="仿宋" w:eastAsia="仿宋_GB2312" w:cs="宋体"/>
          <w:kern w:val="0"/>
          <w:sz w:val="32"/>
          <w:szCs w:val="28"/>
        </w:rPr>
        <w:t>（一）自愿申请原则。以协会会员单位为主要对象开展信用评价工作，会员单位自愿提出评价申请。</w:t>
      </w:r>
      <w:r>
        <w:rPr>
          <w:rFonts w:hint="eastAsia" w:ascii="仿宋_GB2312" w:hAnsi="宋体" w:eastAsia="仿宋_GB2312" w:cs="宋体"/>
          <w:kern w:val="0"/>
          <w:sz w:val="32"/>
          <w:szCs w:val="28"/>
        </w:rPr>
        <w:t> </w:t>
      </w:r>
    </w:p>
    <w:p>
      <w:pPr>
        <w:widowControl/>
        <w:shd w:val="clear" w:color="auto" w:fill="FFFFFF"/>
        <w:spacing w:line="360" w:lineRule="atLeast"/>
        <w:ind w:firstLine="640" w:firstLineChars="200"/>
        <w:rPr>
          <w:rFonts w:ascii="仿宋_GB2312" w:hAnsi="宋体" w:eastAsia="仿宋_GB2312" w:cs="宋体"/>
          <w:kern w:val="0"/>
          <w:sz w:val="32"/>
          <w:szCs w:val="28"/>
        </w:rPr>
      </w:pPr>
      <w:r>
        <w:rPr>
          <w:rFonts w:hint="eastAsia" w:ascii="仿宋_GB2312" w:hAnsi="仿宋" w:eastAsia="仿宋_GB2312" w:cs="宋体"/>
          <w:kern w:val="0"/>
          <w:sz w:val="32"/>
          <w:szCs w:val="28"/>
        </w:rPr>
        <w:t>（二）客观评价、公开透明原则。信用评价过程中坚持独立、客观、公正、科学、规范、公开透明原则，严格执行评价程序。</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三）扶优扶持原则。通过开展信用评价工作，向行业及有关部门推广应用信用评价结果，向社会提供守信企业的信用信息，帮助信誉良好的会员企业开拓市场，提高企业知名度，增强企业影响力，促进企业健康发展。</w:t>
      </w:r>
    </w:p>
    <w:p>
      <w:pPr>
        <w:ind w:firstLine="643" w:firstLineChars="200"/>
        <w:rPr>
          <w:rFonts w:eastAsia="黑体"/>
          <w:sz w:val="36"/>
          <w:szCs w:val="32"/>
        </w:rPr>
      </w:pPr>
      <w:r>
        <w:rPr>
          <w:rFonts w:hint="eastAsia" w:ascii="仿宋_GB2312" w:hAnsi="仿宋" w:eastAsia="仿宋_GB2312" w:cs="宋体"/>
          <w:b/>
          <w:kern w:val="0"/>
          <w:sz w:val="32"/>
          <w:szCs w:val="28"/>
        </w:rPr>
        <w:t xml:space="preserve">第四条 </w:t>
      </w:r>
      <w:r>
        <w:rPr>
          <w:rFonts w:hint="eastAsia" w:ascii="仿宋_GB2312" w:hAnsi="仿宋" w:eastAsia="仿宋_GB2312" w:cs="宋体"/>
          <w:kern w:val="0"/>
          <w:sz w:val="32"/>
          <w:szCs w:val="28"/>
        </w:rPr>
        <w:t>信用评价由相关取得资质（备案）专业信用服务机构实施。协会成立由行业内外部专家共同组成的信用评价工作技术委员会，对评价工作开展外部评审。</w:t>
      </w:r>
    </w:p>
    <w:p>
      <w:pPr>
        <w:rPr>
          <w:rFonts w:eastAsia="黑体"/>
          <w:sz w:val="36"/>
          <w:szCs w:val="32"/>
        </w:rPr>
      </w:pPr>
    </w:p>
    <w:p>
      <w:pPr>
        <w:widowControl/>
        <w:shd w:val="clear" w:color="auto" w:fill="FFFFFF"/>
        <w:spacing w:line="330" w:lineRule="atLeast"/>
        <w:jc w:val="center"/>
        <w:outlineLvl w:val="0"/>
        <w:rPr>
          <w:rFonts w:ascii="仿宋_GB2312" w:hAnsi="黑体" w:eastAsia="仿宋_GB2312" w:cs="宋体"/>
          <w:b/>
          <w:bCs/>
          <w:kern w:val="36"/>
          <w:sz w:val="32"/>
          <w:szCs w:val="28"/>
        </w:rPr>
      </w:pPr>
      <w:r>
        <w:rPr>
          <w:rFonts w:hint="eastAsia" w:ascii="仿宋_GB2312" w:hAnsi="黑体" w:eastAsia="仿宋_GB2312" w:cs="宋体"/>
          <w:b/>
          <w:bCs/>
          <w:kern w:val="36"/>
          <w:sz w:val="32"/>
          <w:szCs w:val="28"/>
        </w:rPr>
        <w:t>第二章 评价对象</w:t>
      </w:r>
    </w:p>
    <w:p>
      <w:pPr>
        <w:widowControl/>
        <w:shd w:val="clear" w:color="auto" w:fill="FFFFFF"/>
        <w:spacing w:line="360" w:lineRule="atLeast"/>
        <w:ind w:firstLine="643" w:firstLineChars="200"/>
        <w:rPr>
          <w:rFonts w:ascii="仿宋_GB2312" w:hAnsi="宋体" w:eastAsia="仿宋_GB2312" w:cs="宋体"/>
          <w:kern w:val="0"/>
          <w:sz w:val="32"/>
          <w:szCs w:val="28"/>
        </w:rPr>
      </w:pPr>
      <w:r>
        <w:rPr>
          <w:rFonts w:hint="eastAsia" w:ascii="仿宋_GB2312" w:hAnsi="楷体" w:eastAsia="仿宋_GB2312" w:cs="宋体"/>
          <w:b/>
          <w:kern w:val="0"/>
          <w:sz w:val="32"/>
          <w:szCs w:val="28"/>
        </w:rPr>
        <w:t xml:space="preserve">第五条 </w:t>
      </w:r>
      <w:r>
        <w:rPr>
          <w:rFonts w:hint="eastAsia" w:ascii="仿宋_GB2312" w:hAnsi="仿宋" w:eastAsia="仿宋_GB2312" w:cs="宋体"/>
          <w:kern w:val="0"/>
          <w:sz w:val="32"/>
          <w:szCs w:val="28"/>
        </w:rPr>
        <w:t>满足以下基本条件的企业均可申请宁波市环境保护产业协会会员单位信用评价：</w:t>
      </w:r>
      <w:r>
        <w:rPr>
          <w:rFonts w:hint="eastAsia" w:ascii="仿宋_GB2312" w:hAnsi="宋体" w:eastAsia="仿宋_GB2312" w:cs="宋体"/>
          <w:kern w:val="0"/>
          <w:sz w:val="32"/>
          <w:szCs w:val="28"/>
        </w:rPr>
        <w:t> </w:t>
      </w:r>
    </w:p>
    <w:p>
      <w:pPr>
        <w:widowControl/>
        <w:shd w:val="clear" w:color="auto" w:fill="FFFFFF"/>
        <w:spacing w:line="360" w:lineRule="atLeast"/>
        <w:ind w:firstLine="640" w:firstLineChars="200"/>
        <w:rPr>
          <w:rFonts w:ascii="仿宋_GB2312" w:hAnsi="宋体" w:eastAsia="仿宋_GB2312" w:cs="宋体"/>
          <w:kern w:val="0"/>
          <w:sz w:val="32"/>
          <w:szCs w:val="28"/>
        </w:rPr>
      </w:pPr>
      <w:r>
        <w:rPr>
          <w:rFonts w:hint="eastAsia" w:ascii="仿宋_GB2312" w:hAnsi="仿宋" w:eastAsia="仿宋_GB2312" w:cs="宋体"/>
          <w:kern w:val="0"/>
          <w:sz w:val="32"/>
          <w:szCs w:val="28"/>
        </w:rPr>
        <w:t>（一）宁波市环境保护产业协会会员单位；</w:t>
      </w:r>
      <w:r>
        <w:rPr>
          <w:rFonts w:hint="eastAsia" w:ascii="仿宋_GB2312" w:hAnsi="宋体" w:eastAsia="仿宋_GB2312" w:cs="宋体"/>
          <w:kern w:val="0"/>
          <w:sz w:val="32"/>
          <w:szCs w:val="28"/>
        </w:rPr>
        <w:t> </w:t>
      </w:r>
    </w:p>
    <w:p>
      <w:pPr>
        <w:widowControl/>
        <w:shd w:val="clear" w:color="auto" w:fill="FFFFFF"/>
        <w:spacing w:line="360" w:lineRule="atLeast"/>
        <w:ind w:firstLine="640" w:firstLineChars="200"/>
        <w:rPr>
          <w:rFonts w:ascii="仿宋_GB2312" w:hAnsi="宋体" w:eastAsia="仿宋_GB2312" w:cs="宋体"/>
          <w:kern w:val="0"/>
          <w:sz w:val="32"/>
          <w:szCs w:val="28"/>
        </w:rPr>
      </w:pPr>
      <w:r>
        <w:rPr>
          <w:rFonts w:hint="eastAsia" w:ascii="仿宋_GB2312" w:hAnsi="仿宋" w:eastAsia="仿宋_GB2312" w:cs="宋体"/>
          <w:kern w:val="0"/>
          <w:sz w:val="32"/>
          <w:szCs w:val="28"/>
        </w:rPr>
        <w:t>（二）依法登记注册的企业法人和其它经济组织；</w:t>
      </w:r>
    </w:p>
    <w:p>
      <w:pPr>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（三）成立已满三个会计年度,近三年均有主营业务收入,企业处于非关、停的持续经营状态。</w:t>
      </w:r>
    </w:p>
    <w:p>
      <w:pPr>
        <w:ind w:firstLine="640" w:firstLineChars="200"/>
        <w:rPr>
          <w:rFonts w:ascii="仿宋_GB2312" w:hAnsi="仿宋" w:eastAsia="仿宋_GB2312" w:cs="宋体"/>
          <w:kern w:val="0"/>
          <w:sz w:val="32"/>
          <w:szCs w:val="28"/>
        </w:rPr>
      </w:pPr>
    </w:p>
    <w:p>
      <w:pPr>
        <w:jc w:val="center"/>
        <w:rPr>
          <w:rFonts w:ascii="仿宋_GB2312" w:hAnsi="黑体" w:eastAsia="仿宋_GB2312" w:cs="宋体"/>
          <w:b/>
          <w:bCs/>
          <w:kern w:val="36"/>
          <w:sz w:val="32"/>
          <w:szCs w:val="28"/>
        </w:rPr>
      </w:pPr>
      <w:r>
        <w:rPr>
          <w:rFonts w:hint="eastAsia" w:ascii="仿宋_GB2312" w:hAnsi="黑体" w:eastAsia="仿宋_GB2312" w:cs="宋体"/>
          <w:b/>
          <w:bCs/>
          <w:kern w:val="36"/>
          <w:sz w:val="32"/>
          <w:szCs w:val="28"/>
        </w:rPr>
        <w:t>第三章 评价程序</w:t>
      </w:r>
    </w:p>
    <w:p>
      <w:pPr>
        <w:ind w:firstLine="643" w:firstLineChars="200"/>
        <w:outlineLvl w:val="0"/>
        <w:rPr>
          <w:rFonts w:eastAsia="仿宋_GB2312"/>
          <w:sz w:val="32"/>
          <w:szCs w:val="32"/>
        </w:rPr>
      </w:pPr>
      <w:r>
        <w:rPr>
          <w:rFonts w:hint="eastAsia" w:ascii="仿宋_GB2312" w:hAnsi="楷体" w:eastAsia="仿宋_GB2312" w:cs="宋体"/>
          <w:b/>
          <w:kern w:val="0"/>
          <w:sz w:val="32"/>
          <w:szCs w:val="28"/>
        </w:rPr>
        <w:t>第六条</w:t>
      </w:r>
      <w:r>
        <w:drawing>
          <wp:anchor distT="0" distB="0" distL="114300" distR="114300" simplePos="0" relativeHeight="251659264" behindDoc="0" locked="0" layoutInCell="1" allowOverlap="1">
            <wp:simplePos x="0" y="0"/>
            <wp:positionH relativeFrom="column">
              <wp:posOffset>337820</wp:posOffset>
            </wp:positionH>
            <wp:positionV relativeFrom="paragraph">
              <wp:posOffset>7713345</wp:posOffset>
            </wp:positionV>
            <wp:extent cx="6852285" cy="3000375"/>
            <wp:effectExtent l="0" t="0" r="571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852285" cy="3000375"/>
                    </a:xfrm>
                    <a:prstGeom prst="rect">
                      <a:avLst/>
                    </a:prstGeom>
                    <a:noFill/>
                    <a:ln>
                      <a:noFill/>
                    </a:ln>
                  </pic:spPr>
                </pic:pic>
              </a:graphicData>
            </a:graphic>
          </wp:anchor>
        </w:drawing>
      </w:r>
      <w:r>
        <w:rPr>
          <w:rFonts w:hint="eastAsia" w:ascii="仿宋_GB2312" w:hAnsi="楷体" w:eastAsia="仿宋_GB2312" w:cs="宋体"/>
          <w:b/>
          <w:kern w:val="0"/>
          <w:sz w:val="32"/>
          <w:szCs w:val="28"/>
        </w:rPr>
        <w:t xml:space="preserve">  </w:t>
      </w:r>
      <w:r>
        <w:rPr>
          <w:rFonts w:hint="eastAsia" w:ascii="仿宋_GB2312" w:hAnsi="仿宋" w:eastAsia="仿宋_GB2312" w:cs="宋体"/>
          <w:kern w:val="0"/>
          <w:sz w:val="32"/>
          <w:szCs w:val="28"/>
        </w:rPr>
        <w:t>会员单位信用评价按照以下程序开展工作：</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（一）会员单位申报信息</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协会会员单位向协会申报基本信息及信用信息（或通过注册登记的行业信用管理平台系统企业端口进行申报）。同时递交加盖单位盖章的信用承诺书。</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（二）协会填报信息</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协会及时将会员单位执业工作检查、参与后续教育培训、参与协会活动以及对行业承诺执行落实情况登记在行业信用管理平台系统，并向信用服务机构提供相关信息。</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（三）信用服务机构审核信息</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信用服务机构受托开展行业信用管理平台系统记载信息审核工作，作为出具信用等级以及信用报告的依据。</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（四）行业信用管理平台计分评价</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行业信用管理平台系统以一年为周期，开展信用计分，得出评价结果。</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（五）出具信用等级以及信用报告</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信用服务机构在审核信用信息后，出具信用等级以及信用报告，并通过行业信用管理平台以及浙江省信用协会网站公示。</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（六）信用服务机构实地核查</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信用服务机构汇同协会按照本办法对一定比例的会员单位申报信息开展实地调查和核实，根据检查结果对信用等级予以调整并公示（在试点工作期间，采取资料审核+信用公示的方式）。</w:t>
      </w:r>
    </w:p>
    <w:p>
      <w:pPr>
        <w:widowControl/>
        <w:shd w:val="clear" w:color="auto" w:fill="FFFFFF"/>
        <w:spacing w:line="330" w:lineRule="atLeast"/>
        <w:jc w:val="center"/>
        <w:outlineLvl w:val="0"/>
        <w:rPr>
          <w:rFonts w:ascii="仿宋_GB2312" w:hAnsi="黑体" w:eastAsia="仿宋_GB2312" w:cs="宋体"/>
          <w:b/>
          <w:bCs/>
          <w:kern w:val="36"/>
          <w:sz w:val="32"/>
          <w:szCs w:val="28"/>
        </w:rPr>
      </w:pPr>
      <w:r>
        <w:rPr>
          <w:rFonts w:hint="eastAsia" w:ascii="仿宋_GB2312" w:hAnsi="黑体" w:eastAsia="仿宋_GB2312" w:cs="宋体"/>
          <w:b/>
          <w:bCs/>
          <w:kern w:val="36"/>
          <w:sz w:val="32"/>
          <w:szCs w:val="28"/>
        </w:rPr>
        <w:t>第四章 评价体系</w:t>
      </w:r>
    </w:p>
    <w:p>
      <w:pPr>
        <w:widowControl/>
        <w:shd w:val="clear" w:color="auto" w:fill="FFFFFF"/>
        <w:spacing w:line="330" w:lineRule="atLeast"/>
        <w:ind w:firstLine="643" w:firstLineChars="200"/>
        <w:jc w:val="left"/>
        <w:outlineLvl w:val="0"/>
        <w:rPr>
          <w:rFonts w:ascii="仿宋_GB2312" w:hAnsi="仿宋" w:eastAsia="仿宋_GB2312" w:cs="宋体"/>
          <w:kern w:val="0"/>
          <w:sz w:val="32"/>
          <w:szCs w:val="28"/>
        </w:rPr>
      </w:pPr>
      <w:r>
        <w:rPr>
          <w:rFonts w:hint="eastAsia" w:ascii="仿宋_GB2312" w:hAnsi="楷体" w:eastAsia="仿宋_GB2312" w:cs="宋体"/>
          <w:b/>
          <w:kern w:val="0"/>
          <w:sz w:val="32"/>
          <w:szCs w:val="28"/>
        </w:rPr>
        <w:t xml:space="preserve">第七条 </w:t>
      </w:r>
      <w:r>
        <w:rPr>
          <w:rFonts w:hint="eastAsia" w:ascii="仿宋_GB2312" w:hAnsi="仿宋" w:eastAsia="仿宋_GB2312" w:cs="宋体"/>
          <w:kern w:val="0"/>
          <w:sz w:val="32"/>
          <w:szCs w:val="28"/>
        </w:rPr>
        <w:t>信用评价标准</w:t>
      </w:r>
    </w:p>
    <w:p>
      <w:pPr>
        <w:ind w:firstLine="640" w:firstLineChars="200"/>
        <w:outlineLvl w:val="0"/>
        <w:rPr>
          <w:rFonts w:eastAsia="仿宋_GB2312"/>
          <w:sz w:val="32"/>
          <w:szCs w:val="32"/>
        </w:rPr>
      </w:pPr>
      <w:r>
        <w:rPr>
          <w:rFonts w:hint="eastAsia" w:eastAsia="仿宋_GB2312"/>
          <w:sz w:val="32"/>
          <w:szCs w:val="32"/>
        </w:rPr>
        <w:t>（一）信用评价标准</w:t>
      </w:r>
    </w:p>
    <w:p>
      <w:pPr>
        <w:ind w:firstLine="640" w:firstLineChars="200"/>
        <w:outlineLvl w:val="0"/>
        <w:rPr>
          <w:rFonts w:eastAsia="仿宋_GB2312"/>
          <w:sz w:val="32"/>
          <w:szCs w:val="32"/>
        </w:rPr>
      </w:pPr>
      <w:r>
        <w:rPr>
          <w:rFonts w:hint="eastAsia" w:eastAsia="仿宋_GB2312"/>
          <w:sz w:val="32"/>
          <w:szCs w:val="32"/>
        </w:rPr>
        <w:t>信用评价标准框架主要参考浙江省信用协会发布</w:t>
      </w:r>
      <w:r>
        <w:rPr>
          <w:rFonts w:eastAsia="仿宋_GB2312"/>
          <w:sz w:val="32"/>
          <w:szCs w:val="32"/>
        </w:rPr>
        <w:t>的</w:t>
      </w:r>
      <w:r>
        <w:rPr>
          <w:rFonts w:hint="eastAsia" w:eastAsia="仿宋_GB2312"/>
          <w:sz w:val="32"/>
          <w:szCs w:val="32"/>
        </w:rPr>
        <w:t>《浙江省企业信用</w:t>
      </w:r>
      <w:r>
        <w:rPr>
          <w:rFonts w:eastAsia="仿宋_GB2312"/>
          <w:sz w:val="32"/>
          <w:szCs w:val="32"/>
        </w:rPr>
        <w:t>评价指导性</w:t>
      </w:r>
      <w:r>
        <w:rPr>
          <w:rFonts w:hint="eastAsia" w:eastAsia="仿宋_GB2312"/>
          <w:sz w:val="32"/>
          <w:szCs w:val="32"/>
        </w:rPr>
        <w:t>标准》（2018版）和</w:t>
      </w:r>
      <w:r>
        <w:rPr>
          <w:rFonts w:eastAsia="仿宋_GB2312"/>
          <w:sz w:val="32"/>
          <w:szCs w:val="32"/>
        </w:rPr>
        <w:t>协会</w:t>
      </w:r>
      <w:r>
        <w:rPr>
          <w:rFonts w:hint="eastAsia" w:eastAsia="仿宋_GB2312"/>
          <w:sz w:val="32"/>
          <w:szCs w:val="32"/>
        </w:rPr>
        <w:t>2017年</w:t>
      </w:r>
      <w:r>
        <w:rPr>
          <w:rFonts w:eastAsia="仿宋_GB2312"/>
          <w:sz w:val="32"/>
          <w:szCs w:val="32"/>
        </w:rPr>
        <w:t>发布的《</w:t>
      </w:r>
      <w:r>
        <w:rPr>
          <w:rFonts w:hint="eastAsia" w:eastAsia="仿宋_GB2312"/>
          <w:sz w:val="32"/>
          <w:szCs w:val="32"/>
        </w:rPr>
        <w:t>宁波市环境保护产业企业信用等级评价管理办法</w:t>
      </w:r>
      <w:r>
        <w:rPr>
          <w:rFonts w:eastAsia="仿宋_GB2312"/>
          <w:sz w:val="32"/>
          <w:szCs w:val="32"/>
        </w:rPr>
        <w:t>》</w:t>
      </w:r>
      <w:r>
        <w:rPr>
          <w:rFonts w:hint="eastAsia" w:eastAsia="仿宋_GB2312"/>
          <w:sz w:val="32"/>
          <w:szCs w:val="32"/>
        </w:rPr>
        <w:t>，并在此基础上，结合实际优化调整确定相应的评价指标及权重。</w:t>
      </w:r>
    </w:p>
    <w:p>
      <w:pPr>
        <w:ind w:firstLine="640" w:firstLineChars="200"/>
        <w:outlineLvl w:val="0"/>
        <w:rPr>
          <w:rFonts w:eastAsia="仿宋_GB2312"/>
          <w:sz w:val="32"/>
          <w:szCs w:val="32"/>
        </w:rPr>
      </w:pPr>
      <w:r>
        <w:rPr>
          <w:rFonts w:hint="eastAsia" w:eastAsia="仿宋_GB2312"/>
          <w:sz w:val="32"/>
          <w:szCs w:val="32"/>
        </w:rPr>
        <w:t>（二）评价标准设计说明</w:t>
      </w:r>
    </w:p>
    <w:p>
      <w:pPr>
        <w:ind w:firstLine="640" w:firstLineChars="200"/>
        <w:outlineLvl w:val="0"/>
        <w:rPr>
          <w:rFonts w:eastAsia="仿宋_GB2312"/>
          <w:sz w:val="32"/>
          <w:szCs w:val="32"/>
        </w:rPr>
      </w:pPr>
      <w:r>
        <w:rPr>
          <w:rFonts w:hint="eastAsia" w:eastAsia="仿宋_GB2312"/>
          <w:sz w:val="32"/>
          <w:szCs w:val="32"/>
        </w:rPr>
        <w:t>1．评价标准分数累计100分。</w:t>
      </w:r>
    </w:p>
    <w:p>
      <w:pPr>
        <w:ind w:firstLine="640" w:firstLineChars="200"/>
        <w:outlineLvl w:val="0"/>
        <w:rPr>
          <w:rFonts w:eastAsia="仿宋_GB2312"/>
          <w:sz w:val="32"/>
          <w:szCs w:val="32"/>
        </w:rPr>
      </w:pPr>
      <w:r>
        <w:rPr>
          <w:rFonts w:hint="eastAsia" w:eastAsia="仿宋_GB2312"/>
          <w:sz w:val="32"/>
          <w:szCs w:val="32"/>
        </w:rPr>
        <w:t>2．根据环保行业具体业务特点以及行业信用管理平台数据积累，合理设置分档计分权重。</w:t>
      </w:r>
    </w:p>
    <w:p>
      <w:pPr>
        <w:ind w:firstLine="640" w:firstLineChars="200"/>
        <w:outlineLvl w:val="0"/>
        <w:rPr>
          <w:rFonts w:eastAsia="仿宋_GB2312"/>
          <w:sz w:val="32"/>
          <w:szCs w:val="32"/>
        </w:rPr>
      </w:pPr>
      <w:r>
        <w:rPr>
          <w:rFonts w:hint="eastAsia" w:eastAsia="仿宋_GB2312"/>
          <w:sz w:val="32"/>
          <w:szCs w:val="32"/>
        </w:rPr>
        <w:t>3．财务及效益状况指标，按照最近一个年度的审计报告数据（财务报告）计算得分。</w:t>
      </w:r>
    </w:p>
    <w:p>
      <w:pPr>
        <w:ind w:firstLine="640" w:firstLineChars="200"/>
        <w:outlineLvl w:val="0"/>
        <w:rPr>
          <w:rFonts w:eastAsia="仿宋_GB2312"/>
          <w:sz w:val="32"/>
          <w:szCs w:val="32"/>
        </w:rPr>
      </w:pPr>
      <w:r>
        <w:rPr>
          <w:rFonts w:eastAsia="仿宋_GB2312"/>
          <w:sz w:val="32"/>
          <w:szCs w:val="32"/>
        </w:rPr>
        <w:t>4</w:t>
      </w:r>
      <w:r>
        <w:rPr>
          <w:rFonts w:hint="eastAsia" w:eastAsia="仿宋_GB2312"/>
          <w:sz w:val="32"/>
          <w:szCs w:val="32"/>
        </w:rPr>
        <w:t>．履约评价部分是由会员单位对一定比例的服务项目履约情况按统一的格式进行评价并及时登载行业信用管理系统。</w:t>
      </w:r>
    </w:p>
    <w:p>
      <w:pPr>
        <w:widowControl/>
        <w:shd w:val="clear" w:color="auto" w:fill="FFFFFF"/>
        <w:spacing w:line="330" w:lineRule="atLeast"/>
        <w:ind w:firstLine="643" w:firstLineChars="200"/>
        <w:jc w:val="left"/>
        <w:outlineLvl w:val="0"/>
        <w:rPr>
          <w:rFonts w:ascii="仿宋_GB2312" w:hAnsi="黑体" w:eastAsia="仿宋_GB2312" w:cs="宋体"/>
          <w:b/>
          <w:bCs/>
          <w:kern w:val="36"/>
          <w:sz w:val="28"/>
          <w:szCs w:val="28"/>
        </w:rPr>
      </w:pPr>
      <w:r>
        <w:rPr>
          <w:rFonts w:hint="eastAsia" w:ascii="仿宋_GB2312" w:hAnsi="楷体" w:eastAsia="仿宋_GB2312" w:cs="宋体"/>
          <w:b/>
          <w:kern w:val="0"/>
          <w:sz w:val="32"/>
          <w:szCs w:val="28"/>
        </w:rPr>
        <w:t xml:space="preserve">第八条 </w:t>
      </w:r>
      <w:r>
        <w:rPr>
          <w:rFonts w:hint="eastAsia" w:ascii="仿宋_GB2312" w:hAnsi="仿宋" w:eastAsia="仿宋_GB2312" w:cs="宋体"/>
          <w:kern w:val="0"/>
          <w:sz w:val="32"/>
          <w:szCs w:val="28"/>
        </w:rPr>
        <w:t>评价类别</w:t>
      </w:r>
    </w:p>
    <w:p>
      <w:pPr>
        <w:ind w:firstLine="640" w:firstLineChars="200"/>
        <w:outlineLvl w:val="0"/>
        <w:rPr>
          <w:rFonts w:eastAsia="仿宋_GB2312"/>
          <w:sz w:val="32"/>
          <w:szCs w:val="32"/>
        </w:rPr>
      </w:pPr>
      <w:r>
        <w:rPr>
          <w:rFonts w:hint="eastAsia" w:eastAsia="仿宋_GB2312"/>
          <w:sz w:val="32"/>
          <w:szCs w:val="32"/>
        </w:rPr>
        <w:t>为了更好地全面反映企业信用状况，将指标体系按企业经济行业类型和主营业务分为三类：</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生态环境工程类，适用于从事生态环境</w:t>
      </w:r>
      <w:r>
        <w:rPr>
          <w:rFonts w:eastAsia="仿宋_GB2312"/>
          <w:sz w:val="32"/>
          <w:szCs w:val="32"/>
        </w:rPr>
        <w:t>保护工程</w:t>
      </w:r>
      <w:r>
        <w:rPr>
          <w:rFonts w:hint="eastAsia" w:eastAsia="仿宋_GB2312"/>
          <w:sz w:val="32"/>
          <w:szCs w:val="32"/>
        </w:rPr>
        <w:t>的企事业单位；</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服务类，适用于生态环境咨询、</w:t>
      </w:r>
      <w:r>
        <w:rPr>
          <w:rFonts w:eastAsia="仿宋_GB2312"/>
          <w:sz w:val="32"/>
          <w:szCs w:val="32"/>
        </w:rPr>
        <w:t>检测</w:t>
      </w:r>
      <w:r>
        <w:rPr>
          <w:rFonts w:hint="eastAsia" w:eastAsia="仿宋_GB2312"/>
          <w:sz w:val="32"/>
          <w:szCs w:val="32"/>
        </w:rPr>
        <w:t>等服务业的企事业单位；</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产品制造类，适用于生态环境保护</w:t>
      </w:r>
      <w:r>
        <w:rPr>
          <w:rFonts w:eastAsia="仿宋_GB2312"/>
          <w:sz w:val="32"/>
          <w:szCs w:val="32"/>
        </w:rPr>
        <w:t>产品</w:t>
      </w:r>
      <w:r>
        <w:rPr>
          <w:rFonts w:hint="eastAsia" w:eastAsia="仿宋_GB2312"/>
          <w:sz w:val="32"/>
          <w:szCs w:val="32"/>
        </w:rPr>
        <w:t>/设备</w:t>
      </w:r>
      <w:r>
        <w:rPr>
          <w:rFonts w:eastAsia="仿宋_GB2312"/>
          <w:sz w:val="32"/>
          <w:szCs w:val="32"/>
        </w:rPr>
        <w:t>制造</w:t>
      </w:r>
      <w:r>
        <w:rPr>
          <w:rFonts w:hint="eastAsia" w:eastAsia="仿宋_GB2312"/>
          <w:sz w:val="32"/>
          <w:szCs w:val="32"/>
        </w:rPr>
        <w:t>的企事业单位。</w:t>
      </w:r>
    </w:p>
    <w:p>
      <w:pPr>
        <w:ind w:firstLine="643" w:firstLineChars="200"/>
        <w:rPr>
          <w:rFonts w:ascii="仿宋_GB2312" w:hAnsi="仿宋" w:eastAsia="仿宋_GB2312" w:cs="宋体"/>
          <w:kern w:val="0"/>
          <w:sz w:val="32"/>
          <w:szCs w:val="28"/>
        </w:rPr>
      </w:pPr>
      <w:r>
        <w:rPr>
          <w:rFonts w:hint="eastAsia" w:ascii="仿宋_GB2312" w:hAnsi="楷体" w:eastAsia="仿宋_GB2312" w:cs="宋体"/>
          <w:b/>
          <w:kern w:val="0"/>
          <w:sz w:val="32"/>
          <w:szCs w:val="28"/>
        </w:rPr>
        <w:t xml:space="preserve">第九条 </w:t>
      </w:r>
      <w:r>
        <w:rPr>
          <w:rFonts w:hint="eastAsia" w:ascii="仿宋_GB2312" w:hAnsi="仿宋" w:eastAsia="仿宋_GB2312" w:cs="宋体"/>
          <w:kern w:val="0"/>
          <w:sz w:val="32"/>
          <w:szCs w:val="28"/>
        </w:rPr>
        <w:t>评价指标和信用报告格式</w:t>
      </w:r>
    </w:p>
    <w:p>
      <w:pPr>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详见附件一、二。</w:t>
      </w:r>
    </w:p>
    <w:p>
      <w:pPr>
        <w:ind w:firstLine="643" w:firstLineChars="200"/>
        <w:jc w:val="left"/>
        <w:rPr>
          <w:rFonts w:eastAsia="仿宋_GB2312"/>
          <w:b/>
          <w:sz w:val="32"/>
          <w:szCs w:val="32"/>
        </w:rPr>
      </w:pPr>
      <w:r>
        <w:rPr>
          <w:rFonts w:hint="eastAsia" w:ascii="仿宋_GB2312" w:hAnsi="楷体" w:eastAsia="仿宋_GB2312" w:cs="宋体"/>
          <w:b/>
          <w:kern w:val="0"/>
          <w:sz w:val="32"/>
          <w:szCs w:val="28"/>
        </w:rPr>
        <w:t xml:space="preserve">第十条 </w:t>
      </w:r>
      <w:r>
        <w:rPr>
          <w:rFonts w:hint="eastAsia" w:eastAsia="仿宋_GB2312"/>
          <w:sz w:val="32"/>
          <w:szCs w:val="32"/>
        </w:rPr>
        <w:t>信用等级</w:t>
      </w:r>
    </w:p>
    <w:p>
      <w:pPr>
        <w:ind w:firstLine="640" w:firstLineChars="200"/>
        <w:rPr>
          <w:rFonts w:eastAsia="仿宋_GB2312"/>
          <w:sz w:val="32"/>
          <w:szCs w:val="32"/>
        </w:rPr>
      </w:pPr>
      <w:r>
        <w:rPr>
          <w:rFonts w:hint="eastAsia" w:eastAsia="仿宋_GB2312"/>
          <w:sz w:val="32"/>
          <w:szCs w:val="32"/>
        </w:rPr>
        <w:t>（一）等级划分及释义</w:t>
      </w:r>
    </w:p>
    <w:tbl>
      <w:tblPr>
        <w:tblStyle w:val="1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blHeader/>
          <w:jc w:val="center"/>
        </w:trPr>
        <w:tc>
          <w:tcPr>
            <w:tcW w:w="900" w:type="dxa"/>
            <w:vAlign w:val="center"/>
          </w:tcPr>
          <w:p>
            <w:pPr>
              <w:pStyle w:val="5"/>
              <w:spacing w:line="240" w:lineRule="auto"/>
              <w:ind w:firstLine="0" w:firstLineChars="0"/>
              <w:jc w:val="center"/>
              <w:rPr>
                <w:rFonts w:ascii="Times New Roman" w:hAnsi="Times New Roman"/>
                <w:b/>
                <w:kern w:val="2"/>
              </w:rPr>
            </w:pPr>
            <w:r>
              <w:rPr>
                <w:rFonts w:hint="eastAsia" w:ascii="Times New Roman" w:hAnsi="Times New Roman"/>
                <w:b/>
                <w:kern w:val="2"/>
              </w:rPr>
              <w:t>符号</w:t>
            </w:r>
          </w:p>
        </w:tc>
        <w:tc>
          <w:tcPr>
            <w:tcW w:w="1260" w:type="dxa"/>
            <w:vAlign w:val="center"/>
          </w:tcPr>
          <w:p>
            <w:pPr>
              <w:pStyle w:val="5"/>
              <w:spacing w:line="240" w:lineRule="auto"/>
              <w:ind w:firstLine="0" w:firstLineChars="0"/>
              <w:jc w:val="center"/>
              <w:rPr>
                <w:rFonts w:ascii="Times New Roman" w:hAnsi="Times New Roman"/>
                <w:b/>
                <w:kern w:val="2"/>
              </w:rPr>
            </w:pPr>
            <w:r>
              <w:rPr>
                <w:rFonts w:hint="eastAsia" w:ascii="Times New Roman" w:hAnsi="Times New Roman"/>
                <w:b/>
                <w:kern w:val="2"/>
              </w:rPr>
              <w:t>计分范围</w:t>
            </w:r>
          </w:p>
        </w:tc>
        <w:tc>
          <w:tcPr>
            <w:tcW w:w="6300" w:type="dxa"/>
            <w:vAlign w:val="center"/>
          </w:tcPr>
          <w:p>
            <w:pPr>
              <w:pStyle w:val="5"/>
              <w:spacing w:line="240" w:lineRule="auto"/>
              <w:ind w:firstLine="0" w:firstLineChars="0"/>
              <w:jc w:val="center"/>
              <w:rPr>
                <w:rFonts w:ascii="Times New Roman" w:hAnsi="Times New Roman"/>
                <w:b/>
                <w:kern w:val="2"/>
              </w:rPr>
            </w:pPr>
            <w:r>
              <w:rPr>
                <w:rFonts w:hint="eastAsia" w:ascii="Times New Roman" w:hAnsi="Times New Roman"/>
                <w:b/>
                <w:kern w:val="2"/>
              </w:rPr>
              <w:t>信用提示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AAA</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≥90</w:t>
            </w:r>
          </w:p>
        </w:tc>
        <w:tc>
          <w:tcPr>
            <w:tcW w:w="6300" w:type="dxa"/>
            <w:vAlign w:val="center"/>
          </w:tcPr>
          <w:p>
            <w:pPr>
              <w:rPr>
                <w:szCs w:val="21"/>
              </w:rPr>
            </w:pPr>
            <w:r>
              <w:rPr>
                <w:rFonts w:hint="eastAsia"/>
              </w:rPr>
              <w:t>企业信用程度优良，对履行相关经济和社会责任能够提供极强的保障，环境因素变化对其稳定发展影响极小，违约风险极低。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AA</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≥80&lt;90</w:t>
            </w:r>
          </w:p>
        </w:tc>
        <w:tc>
          <w:tcPr>
            <w:tcW w:w="6300" w:type="dxa"/>
            <w:vAlign w:val="center"/>
          </w:tcPr>
          <w:p>
            <w:pPr>
              <w:rPr>
                <w:szCs w:val="21"/>
              </w:rPr>
            </w:pPr>
            <w:r>
              <w:rPr>
                <w:rFonts w:hint="eastAsia"/>
              </w:rPr>
              <w:t>企业信用程度良好，对履行相关经济和社会责任能提供好的保障，环境因素发生不利变化时可能会影响其发展，违约风险低。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A</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≥70&lt;80</w:t>
            </w:r>
          </w:p>
        </w:tc>
        <w:tc>
          <w:tcPr>
            <w:tcW w:w="6300" w:type="dxa"/>
            <w:vAlign w:val="center"/>
          </w:tcPr>
          <w:p>
            <w:pPr>
              <w:rPr>
                <w:szCs w:val="21"/>
              </w:rPr>
            </w:pPr>
            <w:r>
              <w:rPr>
                <w:rFonts w:hint="eastAsia"/>
              </w:rPr>
              <w:t>企业信用程度较好，对履行相关经济和社会责任能提供较好的保障，对于抵御环境发生不利变化时的能力一般，违约风险较低。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BBB</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≥60&lt;70</w:t>
            </w:r>
          </w:p>
        </w:tc>
        <w:tc>
          <w:tcPr>
            <w:tcW w:w="6300" w:type="dxa"/>
            <w:vAlign w:val="center"/>
          </w:tcPr>
          <w:p>
            <w:pPr>
              <w:rPr>
                <w:szCs w:val="21"/>
              </w:rPr>
            </w:pPr>
            <w:r>
              <w:rPr>
                <w:rFonts w:hint="eastAsia"/>
              </w:rPr>
              <w:t>企业信用程度一般，对履行相关经济和社会责任时能提供一般的保障，存在违约风险。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BB</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≥50&lt;60</w:t>
            </w:r>
          </w:p>
        </w:tc>
        <w:tc>
          <w:tcPr>
            <w:tcW w:w="6300" w:type="dxa"/>
            <w:vAlign w:val="center"/>
          </w:tcPr>
          <w:p>
            <w:pPr>
              <w:rPr>
                <w:szCs w:val="21"/>
              </w:rPr>
            </w:pPr>
            <w:r>
              <w:rPr>
                <w:rFonts w:hint="eastAsia"/>
              </w:rPr>
              <w:t>企业信用程度欠佳，履约能力欠佳，有较大的违约风险。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B</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≥40&lt;50</w:t>
            </w:r>
          </w:p>
        </w:tc>
        <w:tc>
          <w:tcPr>
            <w:tcW w:w="6300" w:type="dxa"/>
            <w:vAlign w:val="center"/>
          </w:tcPr>
          <w:p>
            <w:pPr>
              <w:rPr>
                <w:szCs w:val="21"/>
              </w:rPr>
            </w:pPr>
            <w:r>
              <w:rPr>
                <w:rFonts w:hint="eastAsia"/>
              </w:rPr>
              <w:t>企业信用程度差，履约能力弱，有重大的违约风险。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CCC</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≥30&lt;40</w:t>
            </w:r>
          </w:p>
        </w:tc>
        <w:tc>
          <w:tcPr>
            <w:tcW w:w="6300" w:type="dxa"/>
            <w:vAlign w:val="center"/>
          </w:tcPr>
          <w:p>
            <w:pPr>
              <w:rPr>
                <w:szCs w:val="21"/>
              </w:rPr>
            </w:pPr>
            <w:r>
              <w:rPr>
                <w:rFonts w:hint="eastAsia"/>
              </w:rPr>
              <w:t>企业信用程度很差，履约能力很弱，违约风险很大。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CC</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≥20&lt;30</w:t>
            </w:r>
          </w:p>
        </w:tc>
        <w:tc>
          <w:tcPr>
            <w:tcW w:w="6300" w:type="dxa"/>
            <w:vAlign w:val="center"/>
          </w:tcPr>
          <w:p>
            <w:pPr>
              <w:rPr>
                <w:szCs w:val="21"/>
              </w:rPr>
            </w:pPr>
            <w:r>
              <w:rPr>
                <w:rFonts w:hint="eastAsia"/>
              </w:rPr>
              <w:t>企业信用程度极差，企业没有履约能力。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0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lang w:eastAsia="zh-TW"/>
              </w:rPr>
              <w:t>C</w:t>
            </w:r>
          </w:p>
        </w:tc>
        <w:tc>
          <w:tcPr>
            <w:tcW w:w="1260" w:type="dxa"/>
            <w:vAlign w:val="center"/>
          </w:tcPr>
          <w:p>
            <w:pPr>
              <w:pStyle w:val="5"/>
              <w:spacing w:line="240" w:lineRule="auto"/>
              <w:ind w:firstLine="0" w:firstLineChars="0"/>
              <w:jc w:val="center"/>
              <w:rPr>
                <w:rFonts w:ascii="Times New Roman" w:hAnsi="Times New Roman"/>
                <w:kern w:val="2"/>
                <w:sz w:val="21"/>
                <w:szCs w:val="21"/>
              </w:rPr>
            </w:pPr>
            <w:r>
              <w:rPr>
                <w:rFonts w:ascii="Times New Roman" w:hAnsi="Times New Roman"/>
                <w:kern w:val="2"/>
                <w:sz w:val="21"/>
                <w:szCs w:val="21"/>
              </w:rPr>
              <w:t>≥10</w:t>
            </w:r>
            <w:r>
              <w:rPr>
                <w:rFonts w:ascii="Times New Roman" w:hAnsi="Times New Roman"/>
                <w:kern w:val="2"/>
                <w:sz w:val="21"/>
                <w:szCs w:val="21"/>
                <w:lang w:eastAsia="zh-TW"/>
              </w:rPr>
              <w:t>&lt;20</w:t>
            </w:r>
          </w:p>
        </w:tc>
        <w:tc>
          <w:tcPr>
            <w:tcW w:w="6300" w:type="dxa"/>
            <w:vAlign w:val="center"/>
          </w:tcPr>
          <w:p>
            <w:pPr>
              <w:rPr>
                <w:szCs w:val="21"/>
              </w:rPr>
            </w:pPr>
            <w:r>
              <w:rPr>
                <w:rFonts w:hint="eastAsia"/>
              </w:rPr>
              <w:t>企业无信用。</w:t>
            </w:r>
          </w:p>
        </w:tc>
      </w:tr>
    </w:tbl>
    <w:p>
      <w:pPr>
        <w:ind w:firstLine="640" w:firstLineChars="200"/>
        <w:rPr>
          <w:rFonts w:eastAsia="仿宋_GB2312"/>
          <w:sz w:val="32"/>
          <w:szCs w:val="32"/>
        </w:rPr>
      </w:pPr>
      <w:r>
        <w:rPr>
          <w:rFonts w:hint="eastAsia" w:eastAsia="仿宋_GB2312"/>
          <w:sz w:val="32"/>
          <w:szCs w:val="32"/>
        </w:rPr>
        <w:t>（二）等级调整</w:t>
      </w:r>
    </w:p>
    <w:p>
      <w:pPr>
        <w:ind w:firstLine="640" w:firstLineChars="200"/>
        <w:outlineLvl w:val="0"/>
        <w:rPr>
          <w:rFonts w:eastAsia="仿宋_GB2312"/>
          <w:sz w:val="32"/>
          <w:szCs w:val="32"/>
        </w:rPr>
      </w:pPr>
      <w:r>
        <w:rPr>
          <w:rFonts w:eastAsia="仿宋_GB2312"/>
          <w:sz w:val="32"/>
          <w:szCs w:val="32"/>
        </w:rPr>
        <w:t>1</w:t>
      </w:r>
      <w:r>
        <w:rPr>
          <w:rFonts w:hint="eastAsia" w:ascii="仿宋_GB2312" w:hAnsi="仿宋_GB2312" w:eastAsia="仿宋_GB2312"/>
          <w:sz w:val="32"/>
          <w:szCs w:val="32"/>
        </w:rPr>
        <w:t>．</w:t>
      </w:r>
      <w:r>
        <w:rPr>
          <w:rFonts w:hint="eastAsia" w:eastAsia="仿宋_GB2312"/>
          <w:sz w:val="32"/>
          <w:szCs w:val="32"/>
        </w:rPr>
        <w:t>被评企业有以下情形之一的，信用等级下调一个等级（同时符合多项等级下调情形的，不重复下调等级）：</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近五年存在串通投标、弄虚作假骗取中标行为情节严重的（依据《中华人民共和国招标投标法实施条例》）；</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近五年存在较大及以上生产安全事故的（依据《生产安全事故报告和调查处理条例》）；</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近五年存在拒不支付劳动报酬的行为且数额较大或造成严重后果的（依据《最高人民法院关于审理拒不支付劳动报酬刑事案件适用法律若干问题的解释》）；</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截止信用报告制作日期，成立未满两年的；</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近三年连续亏损的；</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近三年财务报告中有壹年（含）以上未经审计或审计有保留意见且该保留意见对评价有较大影响的；</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近五年在信用评价过程中存在隐瞒不良记录和违约情况、提供虚假信息行为的。</w:t>
      </w:r>
    </w:p>
    <w:p>
      <w:pPr>
        <w:ind w:firstLine="640" w:firstLineChars="200"/>
        <w:outlineLvl w:val="0"/>
        <w:rPr>
          <w:rFonts w:eastAsia="仿宋_GB2312"/>
          <w:sz w:val="32"/>
          <w:szCs w:val="32"/>
        </w:rPr>
      </w:pPr>
      <w:r>
        <w:rPr>
          <w:rFonts w:eastAsia="仿宋_GB2312"/>
          <w:sz w:val="32"/>
          <w:szCs w:val="32"/>
        </w:rPr>
        <w:t>2</w:t>
      </w:r>
      <w:r>
        <w:rPr>
          <w:rFonts w:hint="eastAsia" w:ascii="仿宋_GB2312" w:hAnsi="仿宋_GB2312" w:eastAsia="仿宋_GB2312"/>
          <w:sz w:val="32"/>
          <w:szCs w:val="32"/>
        </w:rPr>
        <w:t>．</w:t>
      </w:r>
      <w:r>
        <w:rPr>
          <w:rFonts w:hint="eastAsia" w:eastAsia="仿宋_GB2312"/>
          <w:sz w:val="32"/>
          <w:szCs w:val="32"/>
        </w:rPr>
        <w:t>被评企业有以下情形之一的，信用等级不超过</w:t>
      </w:r>
      <w:r>
        <w:rPr>
          <w:rFonts w:eastAsia="仿宋_GB2312"/>
          <w:sz w:val="32"/>
          <w:szCs w:val="32"/>
        </w:rPr>
        <w:t>BB</w:t>
      </w:r>
      <w:r>
        <w:rPr>
          <w:rFonts w:hint="eastAsia" w:eastAsia="仿宋_GB2312"/>
          <w:sz w:val="32"/>
          <w:szCs w:val="32"/>
        </w:rPr>
        <w:t>：</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近五年企业或企业高管在检察机关行贿犯罪档案中有记录的；</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近五年在参加招标投标活动存在串通投标、弄虚作假骗取中标情节严重的（依据《中华人民共和国招标投标法实施条例》）；</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近五年在信用评价过程中存在隐瞒不良记录和违约情况、提供虚假信息行为的；</w:t>
      </w:r>
    </w:p>
    <w:p>
      <w:pPr>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近五年被各级政府部门列入黑名单的。</w:t>
      </w:r>
    </w:p>
    <w:p>
      <w:pPr>
        <w:ind w:firstLine="640" w:firstLineChars="200"/>
        <w:outlineLvl w:val="0"/>
        <w:rPr>
          <w:rFonts w:eastAsia="仿宋_GB2312"/>
          <w:sz w:val="32"/>
          <w:szCs w:val="32"/>
        </w:rPr>
      </w:pPr>
      <w:r>
        <w:rPr>
          <w:rFonts w:eastAsia="仿宋_GB2312"/>
          <w:sz w:val="32"/>
          <w:szCs w:val="32"/>
        </w:rPr>
        <w:t>3</w:t>
      </w:r>
      <w:r>
        <w:rPr>
          <w:rFonts w:hint="eastAsia" w:eastAsia="仿宋_GB2312"/>
          <w:sz w:val="32"/>
          <w:szCs w:val="32"/>
        </w:rPr>
        <w:t>．出现同时满足第</w:t>
      </w:r>
      <w:r>
        <w:rPr>
          <w:rFonts w:eastAsia="仿宋_GB2312"/>
          <w:sz w:val="32"/>
          <w:szCs w:val="32"/>
        </w:rPr>
        <w:t>1</w:t>
      </w:r>
      <w:r>
        <w:rPr>
          <w:rFonts w:hint="eastAsia" w:eastAsia="仿宋_GB2312"/>
          <w:sz w:val="32"/>
          <w:szCs w:val="32"/>
        </w:rPr>
        <w:t>、</w:t>
      </w:r>
      <w:r>
        <w:rPr>
          <w:rFonts w:eastAsia="仿宋_GB2312"/>
          <w:sz w:val="32"/>
          <w:szCs w:val="32"/>
        </w:rPr>
        <w:t>2</w:t>
      </w:r>
      <w:r>
        <w:rPr>
          <w:rFonts w:hint="eastAsia" w:eastAsia="仿宋_GB2312"/>
          <w:sz w:val="32"/>
          <w:szCs w:val="32"/>
        </w:rPr>
        <w:t>条的情形时，取较低等级。</w:t>
      </w:r>
    </w:p>
    <w:p>
      <w:pPr>
        <w:ind w:firstLine="643" w:firstLineChars="200"/>
        <w:outlineLvl w:val="0"/>
        <w:rPr>
          <w:rFonts w:eastAsia="黑体"/>
          <w:sz w:val="32"/>
          <w:szCs w:val="32"/>
        </w:rPr>
      </w:pPr>
      <w:r>
        <w:rPr>
          <w:rFonts w:hint="eastAsia" w:ascii="仿宋_GB2312" w:hAnsi="楷体" w:eastAsia="仿宋_GB2312" w:cs="宋体"/>
          <w:b/>
          <w:kern w:val="0"/>
          <w:sz w:val="32"/>
          <w:szCs w:val="28"/>
        </w:rPr>
        <w:t xml:space="preserve">第十一条 </w:t>
      </w:r>
      <w:r>
        <w:rPr>
          <w:rFonts w:hint="eastAsia" w:eastAsia="仿宋_GB2312"/>
          <w:sz w:val="32"/>
          <w:szCs w:val="32"/>
        </w:rPr>
        <w:t>报告有效期及</w:t>
      </w:r>
      <w:r>
        <w:rPr>
          <w:rFonts w:eastAsia="仿宋_GB2312"/>
          <w:sz w:val="32"/>
          <w:szCs w:val="32"/>
        </w:rPr>
        <w:t>动态管理</w:t>
      </w:r>
    </w:p>
    <w:p>
      <w:pPr>
        <w:ind w:firstLine="640" w:firstLineChars="200"/>
        <w:rPr>
          <w:rFonts w:eastAsia="仿宋_GB2312"/>
          <w:sz w:val="32"/>
          <w:szCs w:val="32"/>
        </w:rPr>
      </w:pPr>
      <w:r>
        <w:rPr>
          <w:rFonts w:hint="eastAsia" w:eastAsia="仿宋_GB2312"/>
          <w:sz w:val="32"/>
          <w:szCs w:val="32"/>
        </w:rPr>
        <w:t>信用报告有效期为一年，起始日为信用报告概述上的落款日期。</w:t>
      </w:r>
    </w:p>
    <w:p>
      <w:pPr>
        <w:ind w:firstLine="640" w:firstLineChars="200"/>
        <w:rPr>
          <w:rFonts w:eastAsia="仿宋_GB2312"/>
          <w:sz w:val="32"/>
          <w:szCs w:val="32"/>
        </w:rPr>
      </w:pPr>
      <w:r>
        <w:rPr>
          <w:rFonts w:hint="eastAsia" w:eastAsia="仿宋_GB2312"/>
          <w:sz w:val="32"/>
          <w:szCs w:val="32"/>
        </w:rPr>
        <w:t>在有效期内且在前一个信用报告落款日期至少一个月以上，企业可以申请更高级别的信用等级。</w:t>
      </w:r>
    </w:p>
    <w:p>
      <w:pPr>
        <w:ind w:firstLine="640" w:firstLineChars="200"/>
        <w:rPr>
          <w:rFonts w:eastAsia="仿宋_GB2312"/>
          <w:sz w:val="32"/>
          <w:szCs w:val="32"/>
        </w:rPr>
      </w:pPr>
      <w:r>
        <w:rPr>
          <w:rFonts w:hint="eastAsia" w:eastAsia="仿宋_GB2312"/>
          <w:sz w:val="32"/>
          <w:szCs w:val="32"/>
        </w:rPr>
        <w:t>为保持信用等级的有效性和连续性，参评企业在有效期满后要继续参评者，应提前2个月重新向协会提出信用评价申请，协会按上述程序对参评企业信用等级进行重新认定。复评程序按照受评企业首次信用等级评价的评价程序执行。</w:t>
      </w:r>
    </w:p>
    <w:p>
      <w:pPr>
        <w:ind w:firstLine="643" w:firstLineChars="200"/>
        <w:rPr>
          <w:rFonts w:eastAsia="黑体"/>
          <w:sz w:val="32"/>
          <w:szCs w:val="32"/>
        </w:rPr>
      </w:pPr>
      <w:r>
        <w:rPr>
          <w:rFonts w:hint="eastAsia" w:ascii="仿宋_GB2312" w:hAnsi="楷体" w:eastAsia="仿宋_GB2312" w:cs="宋体"/>
          <w:b/>
          <w:kern w:val="0"/>
          <w:sz w:val="32"/>
          <w:szCs w:val="28"/>
        </w:rPr>
        <w:t xml:space="preserve">第十二条 </w:t>
      </w:r>
      <w:r>
        <w:rPr>
          <w:rFonts w:hint="eastAsia" w:eastAsia="仿宋_GB2312"/>
          <w:sz w:val="32"/>
          <w:szCs w:val="32"/>
        </w:rPr>
        <w:t>信用报告内容和格式</w:t>
      </w:r>
    </w:p>
    <w:p>
      <w:pPr>
        <w:ind w:firstLine="640" w:firstLineChars="200"/>
        <w:rPr>
          <w:rFonts w:eastAsia="仿宋_GB2312"/>
          <w:sz w:val="32"/>
          <w:szCs w:val="32"/>
        </w:rPr>
      </w:pPr>
      <w:r>
        <w:rPr>
          <w:rFonts w:hint="eastAsia" w:eastAsia="仿宋_GB2312"/>
          <w:sz w:val="32"/>
          <w:szCs w:val="32"/>
        </w:rPr>
        <w:t>企业信用报告有</w:t>
      </w:r>
      <w:r>
        <w:rPr>
          <w:rFonts w:eastAsia="仿宋_GB2312"/>
          <w:sz w:val="32"/>
          <w:szCs w:val="32"/>
        </w:rPr>
        <w:t>4</w:t>
      </w:r>
      <w:r>
        <w:rPr>
          <w:rFonts w:hint="eastAsia" w:eastAsia="仿宋_GB2312"/>
          <w:sz w:val="32"/>
          <w:szCs w:val="32"/>
        </w:rPr>
        <w:t>个部分，依次为封面、概述页、正文、附件。</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报告封面应包括报告名称、报告企业、报告编号、制作机构、制作日期等内容。</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报告概述页应包括信用等级及释义、基本信息概述、基本结论及风险提示概述、资产和经营情况概述、公共信用监管信息概述、招标投标监管信息概述等内容。</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报告正文应包括基本状况发展潜力、财务状况、信用记录、结论等内容。</w:t>
      </w:r>
    </w:p>
    <w:p>
      <w:pPr>
        <w:ind w:firstLine="640" w:firstLineChars="200"/>
        <w:rPr>
          <w:rFonts w:eastAsia="仿宋_GB2312"/>
          <w:sz w:val="32"/>
          <w:szCs w:val="32"/>
        </w:rPr>
      </w:pPr>
      <w:r>
        <w:rPr>
          <w:rFonts w:eastAsia="仿宋_GB2312"/>
          <w:sz w:val="32"/>
          <w:szCs w:val="32"/>
        </w:rPr>
        <w:t>——</w:t>
      </w:r>
      <w:r>
        <w:rPr>
          <w:rFonts w:hint="eastAsia" w:eastAsia="仿宋_GB2312"/>
          <w:sz w:val="32"/>
          <w:szCs w:val="32"/>
        </w:rPr>
        <w:t>附件应包括声明、比较财务报表（资产负债表、利润表和现金流量表）、评分表等内容。</w:t>
      </w:r>
    </w:p>
    <w:p>
      <w:pPr>
        <w:jc w:val="center"/>
        <w:rPr>
          <w:rFonts w:ascii="仿宋_GB2312" w:hAnsi="黑体" w:eastAsia="仿宋_GB2312" w:cs="宋体"/>
          <w:b/>
          <w:bCs/>
          <w:kern w:val="36"/>
          <w:sz w:val="32"/>
          <w:szCs w:val="28"/>
        </w:rPr>
      </w:pPr>
    </w:p>
    <w:p>
      <w:pPr>
        <w:jc w:val="center"/>
        <w:rPr>
          <w:bCs/>
          <w:sz w:val="28"/>
          <w:szCs w:val="28"/>
        </w:rPr>
      </w:pPr>
      <w:r>
        <w:rPr>
          <w:rFonts w:hint="eastAsia" w:ascii="仿宋_GB2312" w:hAnsi="黑体" w:eastAsia="仿宋_GB2312" w:cs="宋体"/>
          <w:b/>
          <w:bCs/>
          <w:kern w:val="36"/>
          <w:sz w:val="32"/>
          <w:szCs w:val="28"/>
        </w:rPr>
        <w:t>第五章 监督管理</w:t>
      </w:r>
    </w:p>
    <w:p>
      <w:pPr>
        <w:widowControl/>
        <w:shd w:val="clear" w:color="auto" w:fill="FFFFFF"/>
        <w:spacing w:line="360" w:lineRule="atLeast"/>
        <w:ind w:firstLine="643" w:firstLineChars="200"/>
        <w:rPr>
          <w:rFonts w:ascii="仿宋_GB2312" w:hAnsi="仿宋" w:eastAsia="仿宋_GB2312" w:cs="宋体"/>
          <w:kern w:val="0"/>
          <w:sz w:val="32"/>
          <w:szCs w:val="28"/>
        </w:rPr>
      </w:pPr>
      <w:r>
        <w:rPr>
          <w:rFonts w:hint="eastAsia" w:ascii="仿宋_GB2312" w:hAnsi="楷体" w:eastAsia="仿宋_GB2312" w:cs="宋体"/>
          <w:b/>
          <w:kern w:val="0"/>
          <w:sz w:val="32"/>
          <w:szCs w:val="28"/>
        </w:rPr>
        <w:t>第十三条</w:t>
      </w:r>
      <w:r>
        <w:rPr>
          <w:rFonts w:hint="eastAsia" w:ascii="仿宋_GB2312" w:hAnsi="仿宋" w:eastAsia="仿宋_GB2312" w:cs="宋体"/>
          <w:kern w:val="0"/>
          <w:sz w:val="32"/>
          <w:szCs w:val="28"/>
        </w:rPr>
        <w:t xml:space="preserve"> 协会应公正廉明、实事求是、工作认真；严格遵守国家、省市信用信息管理办法，不得擅自征集和披露企业信用信息，不得擅自修改及杜撰企业信用信息，不得随意修改企业信用等级，不得披露未经证实或虚假的企业信用信息，不得纵容参评企业提供虚假信息。</w:t>
      </w:r>
      <w:r>
        <w:rPr>
          <w:rFonts w:hint="eastAsia" w:ascii="仿宋_GB2312" w:hAnsi="宋体" w:eastAsia="仿宋_GB2312" w:cs="宋体"/>
          <w:kern w:val="0"/>
          <w:sz w:val="32"/>
          <w:szCs w:val="28"/>
        </w:rPr>
        <w:t> </w:t>
      </w:r>
    </w:p>
    <w:p>
      <w:pPr>
        <w:widowControl/>
        <w:shd w:val="clear" w:color="auto" w:fill="FFFFFF"/>
        <w:spacing w:line="360" w:lineRule="atLeast"/>
        <w:ind w:firstLine="643" w:firstLineChars="200"/>
        <w:rPr>
          <w:rFonts w:ascii="仿宋_GB2312" w:hAnsi="仿宋" w:eastAsia="仿宋_GB2312" w:cs="宋体"/>
          <w:kern w:val="0"/>
          <w:sz w:val="32"/>
          <w:szCs w:val="28"/>
        </w:rPr>
      </w:pPr>
      <w:r>
        <w:rPr>
          <w:rFonts w:hint="eastAsia" w:ascii="仿宋_GB2312" w:hAnsi="楷体" w:eastAsia="仿宋_GB2312" w:cs="宋体"/>
          <w:b/>
          <w:kern w:val="0"/>
          <w:sz w:val="32"/>
          <w:szCs w:val="28"/>
        </w:rPr>
        <w:t xml:space="preserve">第十四条 </w:t>
      </w:r>
      <w:r>
        <w:rPr>
          <w:rFonts w:hint="eastAsia" w:ascii="仿宋_GB2312" w:hAnsi="仿宋" w:eastAsia="仿宋_GB2312" w:cs="宋体"/>
          <w:kern w:val="0"/>
          <w:sz w:val="32"/>
          <w:szCs w:val="28"/>
        </w:rPr>
        <w:t>信用评价工作须严格遵守国家有关法律、法规和政策，严格依据评价标准和相关程序开展行业企业信用评价工作，保证评价结果的公正性、科学性、一致性、完整性。</w:t>
      </w:r>
    </w:p>
    <w:p>
      <w:pPr>
        <w:widowControl/>
        <w:shd w:val="clear" w:color="auto" w:fill="FFFFFF"/>
        <w:spacing w:line="360" w:lineRule="atLeast"/>
        <w:ind w:firstLine="636" w:firstLineChars="198"/>
        <w:rPr>
          <w:rFonts w:ascii="仿宋_GB2312" w:hAnsi="仿宋" w:eastAsia="仿宋_GB2312" w:cs="宋体"/>
          <w:kern w:val="0"/>
          <w:sz w:val="32"/>
          <w:szCs w:val="28"/>
        </w:rPr>
      </w:pPr>
      <w:r>
        <w:rPr>
          <w:rFonts w:hint="eastAsia" w:ascii="仿宋_GB2312" w:hAnsi="楷体" w:eastAsia="仿宋_GB2312" w:cs="宋体"/>
          <w:b/>
          <w:kern w:val="0"/>
          <w:sz w:val="32"/>
          <w:szCs w:val="28"/>
        </w:rPr>
        <w:t>第十五条</w:t>
      </w:r>
      <w:r>
        <w:rPr>
          <w:rFonts w:hint="eastAsia" w:ascii="仿宋_GB2312" w:hAnsi="仿宋" w:eastAsia="仿宋_GB2312" w:cs="宋体"/>
          <w:kern w:val="0"/>
          <w:sz w:val="32"/>
          <w:szCs w:val="28"/>
        </w:rPr>
        <w:t xml:space="preserve"> 参加协会信用评价的会员企业，经过信用评价获得信用等级后，须自觉接受协会和社会各界的监督。</w:t>
      </w:r>
    </w:p>
    <w:p>
      <w:pPr>
        <w:widowControl/>
        <w:shd w:val="clear" w:color="auto" w:fill="FFFFFF"/>
        <w:spacing w:line="360" w:lineRule="atLeast"/>
        <w:ind w:firstLine="636" w:firstLineChars="198"/>
        <w:rPr>
          <w:rFonts w:ascii="仿宋_GB2312" w:hAnsi="仿宋" w:eastAsia="仿宋_GB2312" w:cs="宋体"/>
          <w:kern w:val="0"/>
          <w:sz w:val="32"/>
          <w:szCs w:val="28"/>
        </w:rPr>
      </w:pPr>
      <w:r>
        <w:rPr>
          <w:rFonts w:hint="eastAsia" w:ascii="仿宋_GB2312" w:hAnsi="楷体" w:eastAsia="仿宋_GB2312" w:cs="宋体"/>
          <w:b/>
          <w:kern w:val="0"/>
          <w:sz w:val="32"/>
          <w:szCs w:val="28"/>
        </w:rPr>
        <w:t xml:space="preserve">第十六条 </w:t>
      </w:r>
      <w:r>
        <w:rPr>
          <w:rFonts w:hint="eastAsia" w:ascii="仿宋_GB2312" w:hAnsi="仿宋" w:eastAsia="仿宋_GB2312" w:cs="宋体"/>
          <w:kern w:val="0"/>
          <w:sz w:val="32"/>
          <w:szCs w:val="28"/>
        </w:rPr>
        <w:t>参评企业在申请信用评价过程中，不得有行贿、隐瞒事实、弄虚作假等行为。如发现有上述行为的，取消其参评资格；对已获得信用等级的，取消其信用等级并予以公告，且两年内不得重新申请。因虚假申报对社会公共利益造成损害或引发纠纷的，由参评单位及其有关责任人承担相关责任。</w:t>
      </w:r>
    </w:p>
    <w:p>
      <w:pPr>
        <w:ind w:firstLine="643" w:firstLineChars="200"/>
        <w:rPr>
          <w:rFonts w:ascii="仿宋_GB2312" w:hAnsi="宋体" w:eastAsia="仿宋_GB2312" w:cs="宋体"/>
          <w:kern w:val="0"/>
          <w:sz w:val="32"/>
          <w:szCs w:val="28"/>
        </w:rPr>
      </w:pPr>
      <w:r>
        <w:rPr>
          <w:rFonts w:hint="eastAsia" w:ascii="仿宋_GB2312" w:hAnsi="楷体" w:eastAsia="仿宋_GB2312" w:cs="宋体"/>
          <w:b/>
          <w:kern w:val="0"/>
          <w:sz w:val="32"/>
          <w:szCs w:val="28"/>
        </w:rPr>
        <w:t xml:space="preserve">第十七条 </w:t>
      </w:r>
      <w:r>
        <w:rPr>
          <w:rFonts w:hint="eastAsia" w:ascii="仿宋_GB2312" w:hAnsi="宋体" w:eastAsia="仿宋_GB2312" w:cs="宋体"/>
          <w:kern w:val="0"/>
          <w:sz w:val="32"/>
          <w:szCs w:val="28"/>
        </w:rPr>
        <w:t>协会不对企业信用评价后的经营行为负责。</w:t>
      </w:r>
    </w:p>
    <w:p>
      <w:pPr>
        <w:jc w:val="center"/>
        <w:rPr>
          <w:rFonts w:ascii="仿宋_GB2312" w:hAnsi="黑体" w:eastAsia="仿宋_GB2312" w:cs="宋体"/>
          <w:b/>
          <w:bCs/>
          <w:kern w:val="36"/>
          <w:sz w:val="32"/>
          <w:szCs w:val="28"/>
        </w:rPr>
      </w:pPr>
    </w:p>
    <w:p>
      <w:pPr>
        <w:jc w:val="center"/>
        <w:rPr>
          <w:rFonts w:ascii="仿宋_GB2312" w:hAnsi="黑体" w:eastAsia="仿宋_GB2312" w:cs="宋体"/>
          <w:b/>
          <w:bCs/>
          <w:kern w:val="36"/>
          <w:sz w:val="32"/>
          <w:szCs w:val="28"/>
        </w:rPr>
      </w:pPr>
      <w:r>
        <w:rPr>
          <w:rFonts w:hint="eastAsia" w:ascii="仿宋_GB2312" w:hAnsi="黑体" w:eastAsia="仿宋_GB2312" w:cs="宋体"/>
          <w:b/>
          <w:bCs/>
          <w:kern w:val="36"/>
          <w:sz w:val="32"/>
          <w:szCs w:val="28"/>
        </w:rPr>
        <w:t>第六章 附则</w:t>
      </w:r>
    </w:p>
    <w:p>
      <w:pPr>
        <w:widowControl/>
        <w:shd w:val="clear" w:color="auto" w:fill="FFFFFF"/>
        <w:spacing w:line="360" w:lineRule="atLeast"/>
        <w:ind w:firstLine="636" w:firstLineChars="198"/>
        <w:rPr>
          <w:rFonts w:ascii="仿宋_GB2312" w:hAnsi="宋体" w:eastAsia="仿宋_GB2312" w:cs="宋体"/>
          <w:kern w:val="0"/>
          <w:sz w:val="32"/>
          <w:szCs w:val="28"/>
        </w:rPr>
      </w:pPr>
      <w:r>
        <w:rPr>
          <w:rFonts w:hint="eastAsia" w:ascii="仿宋_GB2312" w:hAnsi="楷体" w:eastAsia="仿宋_GB2312" w:cs="宋体"/>
          <w:b/>
          <w:kern w:val="0"/>
          <w:sz w:val="32"/>
          <w:szCs w:val="28"/>
        </w:rPr>
        <w:t xml:space="preserve">第十八条 </w:t>
      </w:r>
      <w:r>
        <w:rPr>
          <w:rFonts w:hint="eastAsia" w:ascii="仿宋_GB2312" w:hAnsi="宋体" w:eastAsia="仿宋_GB2312" w:cs="宋体"/>
          <w:kern w:val="0"/>
          <w:sz w:val="32"/>
          <w:szCs w:val="28"/>
        </w:rPr>
        <w:t>本办法由宁波市环境保护产业协会负责解释。</w:t>
      </w:r>
    </w:p>
    <w:p>
      <w:pPr>
        <w:ind w:firstLine="643" w:firstLineChars="200"/>
        <w:rPr>
          <w:rFonts w:ascii="仿宋_GB2312" w:hAnsi="宋体" w:eastAsia="仿宋_GB2312" w:cs="宋体"/>
          <w:kern w:val="0"/>
          <w:sz w:val="32"/>
          <w:szCs w:val="28"/>
        </w:rPr>
      </w:pPr>
      <w:r>
        <w:rPr>
          <w:rFonts w:hint="eastAsia" w:ascii="仿宋_GB2312" w:hAnsi="楷体" w:eastAsia="仿宋_GB2312" w:cs="宋体"/>
          <w:b/>
          <w:kern w:val="0"/>
          <w:sz w:val="32"/>
          <w:szCs w:val="28"/>
        </w:rPr>
        <w:t xml:space="preserve">第十九条 </w:t>
      </w:r>
      <w:r>
        <w:rPr>
          <w:rFonts w:hint="eastAsia" w:ascii="仿宋_GB2312" w:hAnsi="宋体" w:eastAsia="仿宋_GB2312" w:cs="宋体"/>
          <w:kern w:val="0"/>
          <w:sz w:val="32"/>
          <w:szCs w:val="28"/>
        </w:rPr>
        <w:t>本办法自发布之日起施行。 </w:t>
      </w:r>
    </w:p>
    <w:p>
      <w:pPr>
        <w:ind w:firstLine="643" w:firstLineChars="200"/>
        <w:rPr>
          <w:rFonts w:ascii="仿宋_GB2312" w:hAnsi="楷体" w:eastAsia="仿宋_GB2312" w:cs="宋体"/>
          <w:b/>
          <w:kern w:val="0"/>
          <w:sz w:val="32"/>
          <w:szCs w:val="28"/>
        </w:rPr>
      </w:pPr>
    </w:p>
    <w:p>
      <w:pPr>
        <w:ind w:firstLine="643" w:firstLineChars="200"/>
        <w:rPr>
          <w:rFonts w:ascii="仿宋_GB2312" w:hAnsi="宋体" w:eastAsia="仿宋_GB2312" w:cs="宋体"/>
          <w:kern w:val="0"/>
          <w:sz w:val="32"/>
          <w:szCs w:val="28"/>
        </w:rPr>
      </w:pPr>
      <w:r>
        <w:rPr>
          <w:rFonts w:hint="eastAsia" w:ascii="仿宋_GB2312" w:hAnsi="楷体" w:eastAsia="仿宋_GB2312" w:cs="宋体"/>
          <w:b/>
          <w:kern w:val="0"/>
          <w:sz w:val="32"/>
          <w:szCs w:val="28"/>
        </w:rPr>
        <w:t>附件一：</w:t>
      </w:r>
      <w:r>
        <w:rPr>
          <w:rFonts w:hint="eastAsia" w:ascii="仿宋_GB2312" w:hAnsi="宋体" w:eastAsia="仿宋_GB2312" w:cs="宋体"/>
          <w:kern w:val="0"/>
          <w:sz w:val="32"/>
          <w:szCs w:val="28"/>
        </w:rPr>
        <w:t>生态环境工程类企业评价</w:t>
      </w:r>
      <w:r>
        <w:rPr>
          <w:rFonts w:ascii="仿宋_GB2312" w:hAnsi="宋体" w:eastAsia="仿宋_GB2312" w:cs="宋体"/>
          <w:kern w:val="0"/>
          <w:sz w:val="32"/>
          <w:szCs w:val="28"/>
        </w:rPr>
        <w:t>指标</w:t>
      </w:r>
    </w:p>
    <w:p>
      <w:pPr>
        <w:ind w:firstLine="630" w:firstLineChars="196"/>
        <w:rPr>
          <w:rFonts w:eastAsia="仿宋_GB2312"/>
          <w:b/>
          <w:kern w:val="0"/>
          <w:sz w:val="28"/>
          <w:szCs w:val="28"/>
        </w:rPr>
      </w:pPr>
      <w:r>
        <w:rPr>
          <w:rFonts w:ascii="仿宋_GB2312" w:hAnsi="楷体" w:eastAsia="仿宋_GB2312" w:cs="宋体"/>
          <w:b/>
          <w:kern w:val="0"/>
          <w:sz w:val="32"/>
          <w:szCs w:val="28"/>
        </w:rPr>
        <w:t>附件</w:t>
      </w:r>
      <w:r>
        <w:rPr>
          <w:rFonts w:hint="eastAsia" w:ascii="仿宋_GB2312" w:hAnsi="楷体" w:eastAsia="仿宋_GB2312" w:cs="宋体"/>
          <w:b/>
          <w:kern w:val="0"/>
          <w:sz w:val="32"/>
          <w:szCs w:val="28"/>
        </w:rPr>
        <w:t>二</w:t>
      </w:r>
      <w:r>
        <w:rPr>
          <w:rFonts w:ascii="仿宋_GB2312" w:hAnsi="楷体" w:eastAsia="仿宋_GB2312" w:cs="宋体"/>
          <w:b/>
          <w:kern w:val="0"/>
          <w:sz w:val="32"/>
          <w:szCs w:val="28"/>
        </w:rPr>
        <w:t>：</w:t>
      </w:r>
      <w:r>
        <w:rPr>
          <w:rFonts w:hint="eastAsia" w:ascii="仿宋_GB2312" w:hAnsi="仿宋" w:eastAsia="仿宋_GB2312" w:cs="宋体"/>
          <w:kern w:val="0"/>
          <w:sz w:val="32"/>
          <w:szCs w:val="28"/>
        </w:rPr>
        <w:t>信用报告格式规范</w:t>
      </w:r>
    </w:p>
    <w:p>
      <w:pPr>
        <w:ind w:firstLine="630" w:firstLineChars="196"/>
        <w:rPr>
          <w:rFonts w:ascii="仿宋_GB2312" w:hAnsi="仿宋" w:eastAsia="仿宋_GB2312" w:cs="宋体"/>
          <w:kern w:val="0"/>
          <w:sz w:val="32"/>
          <w:szCs w:val="28"/>
        </w:rPr>
      </w:pPr>
      <w:r>
        <w:rPr>
          <w:rFonts w:hint="eastAsia" w:ascii="仿宋_GB2312" w:hAnsi="楷体" w:eastAsia="仿宋_GB2312" w:cs="宋体"/>
          <w:b/>
          <w:kern w:val="0"/>
          <w:sz w:val="32"/>
          <w:szCs w:val="28"/>
        </w:rPr>
        <w:t>附件三：</w:t>
      </w:r>
      <w:r>
        <w:rPr>
          <w:rFonts w:hint="eastAsia" w:ascii="仿宋_GB2312" w:hAnsi="仿宋" w:eastAsia="仿宋_GB2312" w:cs="宋体"/>
          <w:kern w:val="0"/>
          <w:sz w:val="32"/>
          <w:szCs w:val="28"/>
        </w:rPr>
        <w:t>编制说明</w:t>
      </w:r>
    </w:p>
    <w:p>
      <w:pPr>
        <w:ind w:firstLine="630" w:firstLineChars="196"/>
        <w:rPr>
          <w:rFonts w:ascii="仿宋_GB2312" w:hAnsi="楷体" w:eastAsia="仿宋_GB2312" w:cs="宋体"/>
          <w:b/>
          <w:kern w:val="0"/>
          <w:sz w:val="32"/>
          <w:szCs w:val="28"/>
        </w:rPr>
      </w:pPr>
    </w:p>
    <w:p>
      <w:pPr>
        <w:rPr>
          <w:rFonts w:ascii="仿宋_GB2312" w:hAnsi="宋体" w:eastAsia="仿宋_GB2312" w:cs="宋体"/>
          <w:b/>
          <w:kern w:val="0"/>
          <w:sz w:val="32"/>
          <w:szCs w:val="28"/>
        </w:rPr>
      </w:pPr>
    </w:p>
    <w:p>
      <w:pPr>
        <w:rPr>
          <w:rFonts w:ascii="仿宋_GB2312" w:hAnsi="宋体" w:eastAsia="仿宋_GB2312" w:cs="宋体"/>
          <w:b/>
          <w:kern w:val="0"/>
          <w:sz w:val="32"/>
          <w:szCs w:val="28"/>
        </w:rPr>
      </w:pPr>
    </w:p>
    <w:p>
      <w:pPr>
        <w:rPr>
          <w:rFonts w:ascii="仿宋_GB2312" w:hAnsi="宋体" w:eastAsia="仿宋_GB2312" w:cs="宋体"/>
          <w:b/>
          <w:kern w:val="0"/>
          <w:sz w:val="32"/>
          <w:szCs w:val="28"/>
        </w:rPr>
      </w:pPr>
    </w:p>
    <w:p>
      <w:pPr>
        <w:rPr>
          <w:rFonts w:ascii="仿宋_GB2312" w:hAnsi="宋体" w:eastAsia="仿宋_GB2312" w:cs="宋体"/>
          <w:b/>
          <w:kern w:val="0"/>
          <w:sz w:val="32"/>
          <w:szCs w:val="28"/>
        </w:rPr>
      </w:pPr>
    </w:p>
    <w:p>
      <w:pPr>
        <w:rPr>
          <w:rFonts w:ascii="仿宋_GB2312" w:hAnsi="宋体" w:eastAsia="仿宋_GB2312" w:cs="宋体"/>
          <w:b/>
          <w:kern w:val="0"/>
          <w:sz w:val="32"/>
          <w:szCs w:val="28"/>
        </w:rPr>
      </w:pPr>
    </w:p>
    <w:p>
      <w:pPr>
        <w:rPr>
          <w:rFonts w:ascii="仿宋_GB2312" w:hAnsi="宋体" w:eastAsia="仿宋_GB2312" w:cs="宋体"/>
          <w:b/>
          <w:kern w:val="0"/>
          <w:sz w:val="32"/>
          <w:szCs w:val="28"/>
        </w:rPr>
      </w:pPr>
    </w:p>
    <w:p>
      <w:pPr>
        <w:rPr>
          <w:rFonts w:ascii="仿宋_GB2312" w:hAnsi="宋体" w:eastAsia="仿宋_GB2312" w:cs="宋体"/>
          <w:b/>
          <w:kern w:val="0"/>
          <w:sz w:val="32"/>
          <w:szCs w:val="28"/>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p>
      <w:pPr>
        <w:pStyle w:val="5"/>
        <w:spacing w:line="240" w:lineRule="auto"/>
        <w:ind w:firstLine="0" w:firstLineChars="0"/>
        <w:rPr>
          <w:rFonts w:ascii="Times New Roman" w:hAnsi="Times New Roman"/>
          <w:i/>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21</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A48BA"/>
    <w:multiLevelType w:val="multilevel"/>
    <w:tmpl w:val="64DA48BA"/>
    <w:lvl w:ilvl="0" w:tentative="0">
      <w:start w:val="1"/>
      <w:numFmt w:val="japaneseCounting"/>
      <w:lvlText w:val="第%1章"/>
      <w:lvlJc w:val="left"/>
      <w:pPr>
        <w:ind w:left="1080" w:hanging="1080"/>
      </w:pPr>
      <w:rPr>
        <w:rFonts w:hint="default" w:hAnsi="仿宋"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8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21"/>
    <w:rsid w:val="00001581"/>
    <w:rsid w:val="00002446"/>
    <w:rsid w:val="00016D59"/>
    <w:rsid w:val="0002736B"/>
    <w:rsid w:val="000336F4"/>
    <w:rsid w:val="0003404A"/>
    <w:rsid w:val="000358A0"/>
    <w:rsid w:val="00036221"/>
    <w:rsid w:val="00050D76"/>
    <w:rsid w:val="00055D7D"/>
    <w:rsid w:val="000639CC"/>
    <w:rsid w:val="0006475B"/>
    <w:rsid w:val="000741ED"/>
    <w:rsid w:val="00081963"/>
    <w:rsid w:val="000853BE"/>
    <w:rsid w:val="00090F4A"/>
    <w:rsid w:val="00095B74"/>
    <w:rsid w:val="000B10D6"/>
    <w:rsid w:val="000C1E91"/>
    <w:rsid w:val="000C3F24"/>
    <w:rsid w:val="000D0CD0"/>
    <w:rsid w:val="000D7FE3"/>
    <w:rsid w:val="000E1849"/>
    <w:rsid w:val="000E3172"/>
    <w:rsid w:val="000E5F51"/>
    <w:rsid w:val="000F1798"/>
    <w:rsid w:val="000F2CCE"/>
    <w:rsid w:val="000F500F"/>
    <w:rsid w:val="000F59C1"/>
    <w:rsid w:val="000F7D2B"/>
    <w:rsid w:val="00101687"/>
    <w:rsid w:val="0011397B"/>
    <w:rsid w:val="00121FE2"/>
    <w:rsid w:val="001253AD"/>
    <w:rsid w:val="00127822"/>
    <w:rsid w:val="00132CF6"/>
    <w:rsid w:val="00133F74"/>
    <w:rsid w:val="00136203"/>
    <w:rsid w:val="00142CDF"/>
    <w:rsid w:val="00144805"/>
    <w:rsid w:val="00144B1F"/>
    <w:rsid w:val="00147026"/>
    <w:rsid w:val="00150F09"/>
    <w:rsid w:val="00156BD8"/>
    <w:rsid w:val="00163AF6"/>
    <w:rsid w:val="00165631"/>
    <w:rsid w:val="00182122"/>
    <w:rsid w:val="00186F8C"/>
    <w:rsid w:val="001A0797"/>
    <w:rsid w:val="001B4A96"/>
    <w:rsid w:val="001C37E8"/>
    <w:rsid w:val="001C5C61"/>
    <w:rsid w:val="001D2646"/>
    <w:rsid w:val="001D3BB1"/>
    <w:rsid w:val="001D5395"/>
    <w:rsid w:val="001E0AD3"/>
    <w:rsid w:val="001E44AE"/>
    <w:rsid w:val="001E5416"/>
    <w:rsid w:val="001E7652"/>
    <w:rsid w:val="001F2271"/>
    <w:rsid w:val="001F25E0"/>
    <w:rsid w:val="001F34CC"/>
    <w:rsid w:val="001F3E91"/>
    <w:rsid w:val="001F6DAF"/>
    <w:rsid w:val="00202EC2"/>
    <w:rsid w:val="002038B7"/>
    <w:rsid w:val="00223705"/>
    <w:rsid w:val="0024014A"/>
    <w:rsid w:val="0024199B"/>
    <w:rsid w:val="00243710"/>
    <w:rsid w:val="002460C3"/>
    <w:rsid w:val="0024632D"/>
    <w:rsid w:val="00251841"/>
    <w:rsid w:val="00252120"/>
    <w:rsid w:val="0025255D"/>
    <w:rsid w:val="00257596"/>
    <w:rsid w:val="00265913"/>
    <w:rsid w:val="00271F0D"/>
    <w:rsid w:val="002855AD"/>
    <w:rsid w:val="0028638A"/>
    <w:rsid w:val="002873D6"/>
    <w:rsid w:val="00287FD4"/>
    <w:rsid w:val="00291CDF"/>
    <w:rsid w:val="002A5054"/>
    <w:rsid w:val="002A6790"/>
    <w:rsid w:val="002B3F9A"/>
    <w:rsid w:val="002B407B"/>
    <w:rsid w:val="002B754B"/>
    <w:rsid w:val="002C61DE"/>
    <w:rsid w:val="002D19E7"/>
    <w:rsid w:val="002D3ADF"/>
    <w:rsid w:val="002D4CC6"/>
    <w:rsid w:val="002E0D18"/>
    <w:rsid w:val="002E30DF"/>
    <w:rsid w:val="002E6370"/>
    <w:rsid w:val="002F35A0"/>
    <w:rsid w:val="002F540A"/>
    <w:rsid w:val="00302FFA"/>
    <w:rsid w:val="0030487F"/>
    <w:rsid w:val="00313B7B"/>
    <w:rsid w:val="00313EB0"/>
    <w:rsid w:val="00332CA4"/>
    <w:rsid w:val="003357DA"/>
    <w:rsid w:val="0033693A"/>
    <w:rsid w:val="00337DA5"/>
    <w:rsid w:val="00341CCD"/>
    <w:rsid w:val="00347794"/>
    <w:rsid w:val="00356E1C"/>
    <w:rsid w:val="00366BDC"/>
    <w:rsid w:val="003719F9"/>
    <w:rsid w:val="00371F24"/>
    <w:rsid w:val="003722A3"/>
    <w:rsid w:val="00386CDF"/>
    <w:rsid w:val="00392AE9"/>
    <w:rsid w:val="003A027D"/>
    <w:rsid w:val="003A5030"/>
    <w:rsid w:val="003B1222"/>
    <w:rsid w:val="003B2650"/>
    <w:rsid w:val="003B35ED"/>
    <w:rsid w:val="003B6089"/>
    <w:rsid w:val="003C0360"/>
    <w:rsid w:val="003C0B87"/>
    <w:rsid w:val="003C26A3"/>
    <w:rsid w:val="003C6BEF"/>
    <w:rsid w:val="003D67C9"/>
    <w:rsid w:val="003F2654"/>
    <w:rsid w:val="003F2873"/>
    <w:rsid w:val="003F62F7"/>
    <w:rsid w:val="00407A90"/>
    <w:rsid w:val="00407D4E"/>
    <w:rsid w:val="00415125"/>
    <w:rsid w:val="0041536B"/>
    <w:rsid w:val="00434FA9"/>
    <w:rsid w:val="00440FA5"/>
    <w:rsid w:val="004531E3"/>
    <w:rsid w:val="00455024"/>
    <w:rsid w:val="0045533E"/>
    <w:rsid w:val="00457657"/>
    <w:rsid w:val="0047293B"/>
    <w:rsid w:val="00477740"/>
    <w:rsid w:val="00481997"/>
    <w:rsid w:val="00481F25"/>
    <w:rsid w:val="004850E1"/>
    <w:rsid w:val="00494012"/>
    <w:rsid w:val="004A158F"/>
    <w:rsid w:val="004A30D8"/>
    <w:rsid w:val="004A550E"/>
    <w:rsid w:val="004A565A"/>
    <w:rsid w:val="004C0704"/>
    <w:rsid w:val="004C191F"/>
    <w:rsid w:val="004C31A3"/>
    <w:rsid w:val="004C46D2"/>
    <w:rsid w:val="004C6227"/>
    <w:rsid w:val="004D2E4A"/>
    <w:rsid w:val="004D6936"/>
    <w:rsid w:val="004D768B"/>
    <w:rsid w:val="004E6877"/>
    <w:rsid w:val="005008FB"/>
    <w:rsid w:val="0050263E"/>
    <w:rsid w:val="00514696"/>
    <w:rsid w:val="00515C25"/>
    <w:rsid w:val="0052009E"/>
    <w:rsid w:val="00520D8A"/>
    <w:rsid w:val="00553BA9"/>
    <w:rsid w:val="00566C46"/>
    <w:rsid w:val="005677A3"/>
    <w:rsid w:val="00567D5E"/>
    <w:rsid w:val="00571E36"/>
    <w:rsid w:val="00576701"/>
    <w:rsid w:val="005771FD"/>
    <w:rsid w:val="00577466"/>
    <w:rsid w:val="005A00FF"/>
    <w:rsid w:val="005A6E2F"/>
    <w:rsid w:val="005A7195"/>
    <w:rsid w:val="005B2ABA"/>
    <w:rsid w:val="005B346C"/>
    <w:rsid w:val="005C5221"/>
    <w:rsid w:val="005C65CB"/>
    <w:rsid w:val="005C7FAB"/>
    <w:rsid w:val="005F18C3"/>
    <w:rsid w:val="005F3E75"/>
    <w:rsid w:val="006031FF"/>
    <w:rsid w:val="00605ED8"/>
    <w:rsid w:val="00623D44"/>
    <w:rsid w:val="00633B45"/>
    <w:rsid w:val="00634DC6"/>
    <w:rsid w:val="00635E82"/>
    <w:rsid w:val="006435AB"/>
    <w:rsid w:val="00646334"/>
    <w:rsid w:val="0064779F"/>
    <w:rsid w:val="006639EF"/>
    <w:rsid w:val="00663FDD"/>
    <w:rsid w:val="00672523"/>
    <w:rsid w:val="00673431"/>
    <w:rsid w:val="0067618B"/>
    <w:rsid w:val="006816C4"/>
    <w:rsid w:val="006859BE"/>
    <w:rsid w:val="00693EF5"/>
    <w:rsid w:val="00696B8A"/>
    <w:rsid w:val="006B0673"/>
    <w:rsid w:val="006B7BA2"/>
    <w:rsid w:val="006C02F6"/>
    <w:rsid w:val="006C2D63"/>
    <w:rsid w:val="006C364B"/>
    <w:rsid w:val="006E4B91"/>
    <w:rsid w:val="006F0687"/>
    <w:rsid w:val="006F5264"/>
    <w:rsid w:val="006F5E56"/>
    <w:rsid w:val="006F7EF8"/>
    <w:rsid w:val="00703399"/>
    <w:rsid w:val="00703C63"/>
    <w:rsid w:val="00704A03"/>
    <w:rsid w:val="00707315"/>
    <w:rsid w:val="007114E4"/>
    <w:rsid w:val="0071484D"/>
    <w:rsid w:val="0073166D"/>
    <w:rsid w:val="00735A6D"/>
    <w:rsid w:val="007373BF"/>
    <w:rsid w:val="007440AA"/>
    <w:rsid w:val="007547A3"/>
    <w:rsid w:val="0075569B"/>
    <w:rsid w:val="00757176"/>
    <w:rsid w:val="00761235"/>
    <w:rsid w:val="00767BD8"/>
    <w:rsid w:val="00773E81"/>
    <w:rsid w:val="00781C1A"/>
    <w:rsid w:val="007925A8"/>
    <w:rsid w:val="007A0F23"/>
    <w:rsid w:val="007A110D"/>
    <w:rsid w:val="007A1865"/>
    <w:rsid w:val="007A207D"/>
    <w:rsid w:val="007A31C2"/>
    <w:rsid w:val="007B1542"/>
    <w:rsid w:val="007B5FCE"/>
    <w:rsid w:val="007C1B7A"/>
    <w:rsid w:val="007D2F7B"/>
    <w:rsid w:val="007D657F"/>
    <w:rsid w:val="007E1591"/>
    <w:rsid w:val="007E53A8"/>
    <w:rsid w:val="007F0EC5"/>
    <w:rsid w:val="007F5128"/>
    <w:rsid w:val="007F5F15"/>
    <w:rsid w:val="00804BC7"/>
    <w:rsid w:val="00804DBB"/>
    <w:rsid w:val="00807383"/>
    <w:rsid w:val="00807BC6"/>
    <w:rsid w:val="008109CF"/>
    <w:rsid w:val="00815BC9"/>
    <w:rsid w:val="00834929"/>
    <w:rsid w:val="008354CF"/>
    <w:rsid w:val="00835914"/>
    <w:rsid w:val="00836241"/>
    <w:rsid w:val="00844826"/>
    <w:rsid w:val="00854ED3"/>
    <w:rsid w:val="0086609C"/>
    <w:rsid w:val="00866FE2"/>
    <w:rsid w:val="0086713F"/>
    <w:rsid w:val="0087137B"/>
    <w:rsid w:val="00872198"/>
    <w:rsid w:val="0087398D"/>
    <w:rsid w:val="0088378A"/>
    <w:rsid w:val="00885953"/>
    <w:rsid w:val="0088694E"/>
    <w:rsid w:val="008912CF"/>
    <w:rsid w:val="00896FAA"/>
    <w:rsid w:val="00897210"/>
    <w:rsid w:val="00897DE4"/>
    <w:rsid w:val="008A4B72"/>
    <w:rsid w:val="008B0A43"/>
    <w:rsid w:val="008B3CCD"/>
    <w:rsid w:val="008B3F73"/>
    <w:rsid w:val="008D0FD1"/>
    <w:rsid w:val="008D2E33"/>
    <w:rsid w:val="008D391D"/>
    <w:rsid w:val="008D6BDC"/>
    <w:rsid w:val="0090163F"/>
    <w:rsid w:val="009041E8"/>
    <w:rsid w:val="009044A7"/>
    <w:rsid w:val="00911D6A"/>
    <w:rsid w:val="00921D65"/>
    <w:rsid w:val="00933526"/>
    <w:rsid w:val="00942892"/>
    <w:rsid w:val="00947DDC"/>
    <w:rsid w:val="00950088"/>
    <w:rsid w:val="00951164"/>
    <w:rsid w:val="00951D0D"/>
    <w:rsid w:val="0096295D"/>
    <w:rsid w:val="00972615"/>
    <w:rsid w:val="00972983"/>
    <w:rsid w:val="009761E9"/>
    <w:rsid w:val="0098112A"/>
    <w:rsid w:val="009930FF"/>
    <w:rsid w:val="00993783"/>
    <w:rsid w:val="009A0E6C"/>
    <w:rsid w:val="009A19D0"/>
    <w:rsid w:val="009A26AE"/>
    <w:rsid w:val="009A5795"/>
    <w:rsid w:val="009B1FDE"/>
    <w:rsid w:val="009B6211"/>
    <w:rsid w:val="009B7E73"/>
    <w:rsid w:val="009D545C"/>
    <w:rsid w:val="009E04EA"/>
    <w:rsid w:val="009E06CD"/>
    <w:rsid w:val="009E39FE"/>
    <w:rsid w:val="009E5954"/>
    <w:rsid w:val="009F4E41"/>
    <w:rsid w:val="009F78A2"/>
    <w:rsid w:val="00A0014E"/>
    <w:rsid w:val="00A01C15"/>
    <w:rsid w:val="00A04D26"/>
    <w:rsid w:val="00A10642"/>
    <w:rsid w:val="00A153AC"/>
    <w:rsid w:val="00A156AB"/>
    <w:rsid w:val="00A173FF"/>
    <w:rsid w:val="00A217AD"/>
    <w:rsid w:val="00A22660"/>
    <w:rsid w:val="00A26BA2"/>
    <w:rsid w:val="00A27B42"/>
    <w:rsid w:val="00A32AC8"/>
    <w:rsid w:val="00A37A41"/>
    <w:rsid w:val="00A51574"/>
    <w:rsid w:val="00A52FF9"/>
    <w:rsid w:val="00A61B51"/>
    <w:rsid w:val="00A62A44"/>
    <w:rsid w:val="00A8586C"/>
    <w:rsid w:val="00A92677"/>
    <w:rsid w:val="00A93F70"/>
    <w:rsid w:val="00A94C6C"/>
    <w:rsid w:val="00A94DA6"/>
    <w:rsid w:val="00AA35D1"/>
    <w:rsid w:val="00AA5015"/>
    <w:rsid w:val="00AA7374"/>
    <w:rsid w:val="00AB4ABE"/>
    <w:rsid w:val="00AC263B"/>
    <w:rsid w:val="00AD625D"/>
    <w:rsid w:val="00AE06F7"/>
    <w:rsid w:val="00AE64FD"/>
    <w:rsid w:val="00AF41AD"/>
    <w:rsid w:val="00AF531D"/>
    <w:rsid w:val="00AF6371"/>
    <w:rsid w:val="00B030E6"/>
    <w:rsid w:val="00B102B0"/>
    <w:rsid w:val="00B1455E"/>
    <w:rsid w:val="00B14A3F"/>
    <w:rsid w:val="00B1777E"/>
    <w:rsid w:val="00B24C06"/>
    <w:rsid w:val="00B27405"/>
    <w:rsid w:val="00B33CDD"/>
    <w:rsid w:val="00B36049"/>
    <w:rsid w:val="00B40A7E"/>
    <w:rsid w:val="00B5001F"/>
    <w:rsid w:val="00B517BC"/>
    <w:rsid w:val="00B53072"/>
    <w:rsid w:val="00B656AE"/>
    <w:rsid w:val="00B87AB9"/>
    <w:rsid w:val="00B90670"/>
    <w:rsid w:val="00B96E6B"/>
    <w:rsid w:val="00BA57C2"/>
    <w:rsid w:val="00BB5986"/>
    <w:rsid w:val="00BC272C"/>
    <w:rsid w:val="00BC640C"/>
    <w:rsid w:val="00BD187E"/>
    <w:rsid w:val="00BD1983"/>
    <w:rsid w:val="00BD4E41"/>
    <w:rsid w:val="00BE203B"/>
    <w:rsid w:val="00BE6A4F"/>
    <w:rsid w:val="00BF2B9B"/>
    <w:rsid w:val="00BF2C37"/>
    <w:rsid w:val="00BF57FF"/>
    <w:rsid w:val="00BF5C83"/>
    <w:rsid w:val="00C002A4"/>
    <w:rsid w:val="00C0707E"/>
    <w:rsid w:val="00C206B6"/>
    <w:rsid w:val="00C2244C"/>
    <w:rsid w:val="00C228A8"/>
    <w:rsid w:val="00C25250"/>
    <w:rsid w:val="00C2581D"/>
    <w:rsid w:val="00C30DF0"/>
    <w:rsid w:val="00C35ABE"/>
    <w:rsid w:val="00C4374C"/>
    <w:rsid w:val="00C46B5F"/>
    <w:rsid w:val="00C51098"/>
    <w:rsid w:val="00C52F6E"/>
    <w:rsid w:val="00C54D99"/>
    <w:rsid w:val="00C60AFF"/>
    <w:rsid w:val="00C6131D"/>
    <w:rsid w:val="00C65FDE"/>
    <w:rsid w:val="00C7184D"/>
    <w:rsid w:val="00C755C3"/>
    <w:rsid w:val="00C76C19"/>
    <w:rsid w:val="00C805CB"/>
    <w:rsid w:val="00C81D92"/>
    <w:rsid w:val="00C93671"/>
    <w:rsid w:val="00CA2048"/>
    <w:rsid w:val="00CB04EC"/>
    <w:rsid w:val="00CB6DB3"/>
    <w:rsid w:val="00CD6CD0"/>
    <w:rsid w:val="00CD778E"/>
    <w:rsid w:val="00CE315C"/>
    <w:rsid w:val="00CF2619"/>
    <w:rsid w:val="00CF47AF"/>
    <w:rsid w:val="00CF63E3"/>
    <w:rsid w:val="00D0160A"/>
    <w:rsid w:val="00D061FC"/>
    <w:rsid w:val="00D1193B"/>
    <w:rsid w:val="00D11A09"/>
    <w:rsid w:val="00D12355"/>
    <w:rsid w:val="00D15C4E"/>
    <w:rsid w:val="00D16AD5"/>
    <w:rsid w:val="00D173E1"/>
    <w:rsid w:val="00D2008B"/>
    <w:rsid w:val="00D205B6"/>
    <w:rsid w:val="00D2191A"/>
    <w:rsid w:val="00D31046"/>
    <w:rsid w:val="00D32953"/>
    <w:rsid w:val="00D33A0A"/>
    <w:rsid w:val="00D345EE"/>
    <w:rsid w:val="00D37D85"/>
    <w:rsid w:val="00D53D91"/>
    <w:rsid w:val="00D5463E"/>
    <w:rsid w:val="00D646AB"/>
    <w:rsid w:val="00D92113"/>
    <w:rsid w:val="00D933EA"/>
    <w:rsid w:val="00D945EF"/>
    <w:rsid w:val="00DA1BA8"/>
    <w:rsid w:val="00DA371B"/>
    <w:rsid w:val="00DB3FDE"/>
    <w:rsid w:val="00DB4710"/>
    <w:rsid w:val="00DB4A64"/>
    <w:rsid w:val="00DB6A80"/>
    <w:rsid w:val="00DC229F"/>
    <w:rsid w:val="00DC4A0D"/>
    <w:rsid w:val="00DD4CBF"/>
    <w:rsid w:val="00DE1EB8"/>
    <w:rsid w:val="00DF2594"/>
    <w:rsid w:val="00E02FBC"/>
    <w:rsid w:val="00E0494E"/>
    <w:rsid w:val="00E12218"/>
    <w:rsid w:val="00E12C71"/>
    <w:rsid w:val="00E14059"/>
    <w:rsid w:val="00E1424A"/>
    <w:rsid w:val="00E17EF6"/>
    <w:rsid w:val="00E32399"/>
    <w:rsid w:val="00E43065"/>
    <w:rsid w:val="00E45E11"/>
    <w:rsid w:val="00E50E7B"/>
    <w:rsid w:val="00E52AA5"/>
    <w:rsid w:val="00E54B54"/>
    <w:rsid w:val="00E66D77"/>
    <w:rsid w:val="00E71DBF"/>
    <w:rsid w:val="00E73A34"/>
    <w:rsid w:val="00E859E5"/>
    <w:rsid w:val="00E90F70"/>
    <w:rsid w:val="00E93755"/>
    <w:rsid w:val="00E93F90"/>
    <w:rsid w:val="00E94F21"/>
    <w:rsid w:val="00EA0D38"/>
    <w:rsid w:val="00EA15ED"/>
    <w:rsid w:val="00EA6852"/>
    <w:rsid w:val="00EB29DC"/>
    <w:rsid w:val="00EC10A3"/>
    <w:rsid w:val="00EC224D"/>
    <w:rsid w:val="00EC37C9"/>
    <w:rsid w:val="00ED095F"/>
    <w:rsid w:val="00EE0ADF"/>
    <w:rsid w:val="00EE1CD6"/>
    <w:rsid w:val="00EE1F81"/>
    <w:rsid w:val="00EE3D35"/>
    <w:rsid w:val="00EE3F26"/>
    <w:rsid w:val="00EE799D"/>
    <w:rsid w:val="00EF4E5D"/>
    <w:rsid w:val="00F22EE1"/>
    <w:rsid w:val="00F33624"/>
    <w:rsid w:val="00F53DC6"/>
    <w:rsid w:val="00F5798F"/>
    <w:rsid w:val="00F603B8"/>
    <w:rsid w:val="00F6640C"/>
    <w:rsid w:val="00F71AE4"/>
    <w:rsid w:val="00F71B96"/>
    <w:rsid w:val="00F737F3"/>
    <w:rsid w:val="00F82870"/>
    <w:rsid w:val="00F960A7"/>
    <w:rsid w:val="00FB109E"/>
    <w:rsid w:val="00FB312A"/>
    <w:rsid w:val="00FB5EBD"/>
    <w:rsid w:val="00FB6A4E"/>
    <w:rsid w:val="00FC15B8"/>
    <w:rsid w:val="00FC51E5"/>
    <w:rsid w:val="00FE47CD"/>
    <w:rsid w:val="00FE62F2"/>
    <w:rsid w:val="00FF02E7"/>
    <w:rsid w:val="00FF11E7"/>
    <w:rsid w:val="00FF585A"/>
    <w:rsid w:val="4F561327"/>
    <w:rsid w:val="75783FB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locked/>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8"/>
    <w:qFormat/>
    <w:uiPriority w:val="99"/>
    <w:pPr>
      <w:shd w:val="clear" w:color="auto" w:fill="000080"/>
    </w:pPr>
    <w:rPr>
      <w:rFonts w:ascii="宋体"/>
      <w:kern w:val="0"/>
      <w:sz w:val="18"/>
      <w:szCs w:val="18"/>
    </w:rPr>
  </w:style>
  <w:style w:type="paragraph" w:styleId="4">
    <w:name w:val="annotation text"/>
    <w:basedOn w:val="1"/>
    <w:link w:val="29"/>
    <w:qFormat/>
    <w:uiPriority w:val="99"/>
    <w:pPr>
      <w:jc w:val="left"/>
    </w:pPr>
    <w:rPr>
      <w:kern w:val="0"/>
      <w:sz w:val="24"/>
    </w:rPr>
  </w:style>
  <w:style w:type="paragraph" w:styleId="5">
    <w:name w:val="Body Text Indent"/>
    <w:basedOn w:val="1"/>
    <w:link w:val="23"/>
    <w:qFormat/>
    <w:uiPriority w:val="99"/>
    <w:pPr>
      <w:spacing w:line="360" w:lineRule="auto"/>
      <w:ind w:firstLine="540" w:firstLineChars="225"/>
    </w:pPr>
    <w:rPr>
      <w:rFonts w:ascii="宋体" w:hAnsi="宋体"/>
      <w:kern w:val="0"/>
      <w:sz w:val="24"/>
    </w:rPr>
  </w:style>
  <w:style w:type="paragraph" w:styleId="6">
    <w:name w:val="Date"/>
    <w:basedOn w:val="1"/>
    <w:next w:val="1"/>
    <w:link w:val="35"/>
    <w:qFormat/>
    <w:uiPriority w:val="99"/>
    <w:pPr>
      <w:ind w:left="100" w:leftChars="2500"/>
    </w:pPr>
    <w:rPr>
      <w:kern w:val="0"/>
      <w:sz w:val="24"/>
    </w:rPr>
  </w:style>
  <w:style w:type="paragraph" w:styleId="7">
    <w:name w:val="endnote text"/>
    <w:basedOn w:val="1"/>
    <w:link w:val="44"/>
    <w:uiPriority w:val="99"/>
    <w:pPr>
      <w:snapToGrid w:val="0"/>
      <w:jc w:val="left"/>
    </w:pPr>
    <w:rPr>
      <w:kern w:val="0"/>
      <w:sz w:val="24"/>
    </w:rPr>
  </w:style>
  <w:style w:type="paragraph" w:styleId="8">
    <w:name w:val="Balloon Text"/>
    <w:basedOn w:val="1"/>
    <w:link w:val="26"/>
    <w:uiPriority w:val="99"/>
    <w:rPr>
      <w:kern w:val="0"/>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footnote text"/>
    <w:basedOn w:val="1"/>
    <w:link w:val="41"/>
    <w:uiPriority w:val="99"/>
    <w:pPr>
      <w:snapToGrid w:val="0"/>
      <w:jc w:val="left"/>
    </w:pPr>
    <w:rPr>
      <w:kern w:val="0"/>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3">
    <w:name w:val="annotation subject"/>
    <w:basedOn w:val="4"/>
    <w:next w:val="4"/>
    <w:link w:val="32"/>
    <w:uiPriority w:val="99"/>
    <w:rPr>
      <w:b/>
      <w:bCs/>
    </w:rPr>
  </w:style>
  <w:style w:type="table" w:styleId="15">
    <w:name w:val="Table Grid"/>
    <w:basedOn w:val="1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rFonts w:cs="Times New Roman"/>
      <w:color w:val="0000FF"/>
      <w:u w:val="single"/>
    </w:rPr>
  </w:style>
  <w:style w:type="character" w:styleId="18">
    <w:name w:val="annotation reference"/>
    <w:basedOn w:val="16"/>
    <w:semiHidden/>
    <w:unhideWhenUsed/>
    <w:qFormat/>
    <w:uiPriority w:val="99"/>
    <w:rPr>
      <w:sz w:val="21"/>
      <w:szCs w:val="21"/>
    </w:rPr>
  </w:style>
  <w:style w:type="character" w:customStyle="1" w:styleId="19">
    <w:name w:val="页眉 Char"/>
    <w:link w:val="10"/>
    <w:qFormat/>
    <w:locked/>
    <w:uiPriority w:val="99"/>
    <w:rPr>
      <w:rFonts w:cs="Times New Roman"/>
      <w:sz w:val="18"/>
      <w:szCs w:val="18"/>
    </w:rPr>
  </w:style>
  <w:style w:type="character" w:customStyle="1" w:styleId="20">
    <w:name w:val="页脚 Char"/>
    <w:link w:val="9"/>
    <w:qFormat/>
    <w:locked/>
    <w:uiPriority w:val="99"/>
    <w:rPr>
      <w:rFonts w:cs="Times New Roman"/>
      <w:sz w:val="18"/>
      <w:szCs w:val="18"/>
    </w:rPr>
  </w:style>
  <w:style w:type="paragraph" w:customStyle="1" w:styleId="21">
    <w:name w:val="正文首行缩进2字"/>
    <w:basedOn w:val="1"/>
    <w:next w:val="1"/>
    <w:qFormat/>
    <w:uiPriority w:val="99"/>
    <w:pPr>
      <w:spacing w:line="360" w:lineRule="auto"/>
      <w:ind w:firstLine="480" w:firstLineChars="200"/>
    </w:pPr>
    <w:rPr>
      <w:rFonts w:ascii="宋体" w:hAnsi="宋体"/>
      <w:sz w:val="24"/>
    </w:rPr>
  </w:style>
  <w:style w:type="paragraph" w:styleId="22">
    <w:name w:val="List Paragraph"/>
    <w:basedOn w:val="1"/>
    <w:qFormat/>
    <w:uiPriority w:val="99"/>
    <w:pPr>
      <w:ind w:firstLine="420" w:firstLineChars="200"/>
    </w:pPr>
    <w:rPr>
      <w:rFonts w:ascii="Calibri" w:hAnsi="Calibri"/>
      <w:szCs w:val="22"/>
    </w:rPr>
  </w:style>
  <w:style w:type="character" w:customStyle="1" w:styleId="23">
    <w:name w:val="正文文本缩进 Char"/>
    <w:link w:val="5"/>
    <w:qFormat/>
    <w:locked/>
    <w:uiPriority w:val="99"/>
    <w:rPr>
      <w:rFonts w:ascii="宋体" w:hAnsi="宋体" w:eastAsia="宋体" w:cs="Times New Roman"/>
      <w:sz w:val="24"/>
      <w:szCs w:val="24"/>
    </w:rPr>
  </w:style>
  <w:style w:type="character" w:customStyle="1" w:styleId="24">
    <w:name w:val="Balloon Text Char"/>
    <w:qFormat/>
    <w:locked/>
    <w:uiPriority w:val="99"/>
    <w:rPr>
      <w:sz w:val="18"/>
    </w:rPr>
  </w:style>
  <w:style w:type="character" w:customStyle="1" w:styleId="25">
    <w:name w:val="Balloon Text Char1"/>
    <w:semiHidden/>
    <w:qFormat/>
    <w:locked/>
    <w:uiPriority w:val="99"/>
    <w:rPr>
      <w:rFonts w:ascii="Times New Roman" w:hAnsi="Times New Roman" w:cs="Times New Roman"/>
      <w:sz w:val="2"/>
    </w:rPr>
  </w:style>
  <w:style w:type="character" w:customStyle="1" w:styleId="26">
    <w:name w:val="批注框文本 Char"/>
    <w:link w:val="8"/>
    <w:semiHidden/>
    <w:locked/>
    <w:uiPriority w:val="99"/>
    <w:rPr>
      <w:rFonts w:ascii="Times New Roman" w:hAnsi="Times New Roman" w:eastAsia="宋体" w:cs="Times New Roman"/>
      <w:sz w:val="18"/>
      <w:szCs w:val="18"/>
    </w:rPr>
  </w:style>
  <w:style w:type="character" w:customStyle="1" w:styleId="27">
    <w:name w:val="Comment Text Char"/>
    <w:qFormat/>
    <w:locked/>
    <w:uiPriority w:val="99"/>
    <w:rPr>
      <w:sz w:val="24"/>
    </w:rPr>
  </w:style>
  <w:style w:type="character" w:customStyle="1" w:styleId="28">
    <w:name w:val="Comment Text Char1"/>
    <w:semiHidden/>
    <w:qFormat/>
    <w:locked/>
    <w:uiPriority w:val="99"/>
    <w:rPr>
      <w:rFonts w:ascii="Times New Roman" w:hAnsi="Times New Roman" w:cs="Times New Roman"/>
      <w:sz w:val="24"/>
      <w:szCs w:val="24"/>
    </w:rPr>
  </w:style>
  <w:style w:type="character" w:customStyle="1" w:styleId="29">
    <w:name w:val="批注文字 Char"/>
    <w:link w:val="4"/>
    <w:semiHidden/>
    <w:qFormat/>
    <w:locked/>
    <w:uiPriority w:val="99"/>
    <w:rPr>
      <w:rFonts w:ascii="Times New Roman" w:hAnsi="Times New Roman" w:eastAsia="宋体" w:cs="Times New Roman"/>
      <w:sz w:val="24"/>
      <w:szCs w:val="24"/>
    </w:rPr>
  </w:style>
  <w:style w:type="character" w:customStyle="1" w:styleId="30">
    <w:name w:val="Comment Subject Char"/>
    <w:qFormat/>
    <w:locked/>
    <w:uiPriority w:val="99"/>
    <w:rPr>
      <w:b/>
      <w:sz w:val="24"/>
    </w:rPr>
  </w:style>
  <w:style w:type="character" w:customStyle="1" w:styleId="31">
    <w:name w:val="Comment Subject Char1"/>
    <w:semiHidden/>
    <w:qFormat/>
    <w:locked/>
    <w:uiPriority w:val="99"/>
    <w:rPr>
      <w:rFonts w:ascii="Times New Roman" w:hAnsi="Times New Roman" w:eastAsia="宋体" w:cs="Times New Roman"/>
      <w:b/>
      <w:bCs/>
      <w:sz w:val="24"/>
      <w:szCs w:val="24"/>
    </w:rPr>
  </w:style>
  <w:style w:type="character" w:customStyle="1" w:styleId="32">
    <w:name w:val="批注主题 Char"/>
    <w:link w:val="13"/>
    <w:semiHidden/>
    <w:qFormat/>
    <w:locked/>
    <w:uiPriority w:val="99"/>
    <w:rPr>
      <w:rFonts w:ascii="Times New Roman" w:hAnsi="Times New Roman" w:eastAsia="宋体" w:cs="Times New Roman"/>
      <w:b/>
      <w:bCs/>
      <w:sz w:val="24"/>
      <w:szCs w:val="24"/>
    </w:rPr>
  </w:style>
  <w:style w:type="character" w:customStyle="1" w:styleId="33">
    <w:name w:val="Date Char"/>
    <w:qFormat/>
    <w:locked/>
    <w:uiPriority w:val="99"/>
    <w:rPr>
      <w:rFonts w:ascii="Calibri" w:hAnsi="Calibri"/>
    </w:rPr>
  </w:style>
  <w:style w:type="character" w:customStyle="1" w:styleId="34">
    <w:name w:val="Date Char1"/>
    <w:semiHidden/>
    <w:qFormat/>
    <w:locked/>
    <w:uiPriority w:val="99"/>
    <w:rPr>
      <w:rFonts w:ascii="Times New Roman" w:hAnsi="Times New Roman" w:cs="Times New Roman"/>
      <w:sz w:val="24"/>
      <w:szCs w:val="24"/>
    </w:rPr>
  </w:style>
  <w:style w:type="character" w:customStyle="1" w:styleId="35">
    <w:name w:val="日期 Char"/>
    <w:link w:val="6"/>
    <w:semiHidden/>
    <w:qFormat/>
    <w:locked/>
    <w:uiPriority w:val="99"/>
    <w:rPr>
      <w:rFonts w:ascii="Times New Roman" w:hAnsi="Times New Roman" w:eastAsia="宋体" w:cs="Times New Roman"/>
      <w:sz w:val="24"/>
      <w:szCs w:val="24"/>
    </w:rPr>
  </w:style>
  <w:style w:type="character" w:customStyle="1" w:styleId="36">
    <w:name w:val="Document Map Char"/>
    <w:qFormat/>
    <w:locked/>
    <w:uiPriority w:val="99"/>
    <w:rPr>
      <w:sz w:val="24"/>
      <w:shd w:val="clear" w:color="auto" w:fill="000080"/>
    </w:rPr>
  </w:style>
  <w:style w:type="character" w:customStyle="1" w:styleId="37">
    <w:name w:val="Document Map Char1"/>
    <w:semiHidden/>
    <w:qFormat/>
    <w:locked/>
    <w:uiPriority w:val="99"/>
    <w:rPr>
      <w:rFonts w:ascii="Times New Roman" w:hAnsi="Times New Roman" w:cs="Times New Roman"/>
      <w:sz w:val="2"/>
    </w:rPr>
  </w:style>
  <w:style w:type="character" w:customStyle="1" w:styleId="38">
    <w:name w:val="文档结构图 Char"/>
    <w:link w:val="3"/>
    <w:qFormat/>
    <w:locked/>
    <w:uiPriority w:val="99"/>
    <w:rPr>
      <w:rFonts w:ascii="宋体" w:hAnsi="Times New Roman" w:eastAsia="宋体" w:cs="Times New Roman"/>
      <w:sz w:val="18"/>
      <w:szCs w:val="18"/>
    </w:rPr>
  </w:style>
  <w:style w:type="character" w:customStyle="1" w:styleId="39">
    <w:name w:val="Footnote Text Char"/>
    <w:qFormat/>
    <w:locked/>
    <w:uiPriority w:val="99"/>
    <w:rPr>
      <w:rFonts w:ascii="Calibri" w:hAnsi="Calibri"/>
      <w:sz w:val="18"/>
    </w:rPr>
  </w:style>
  <w:style w:type="character" w:customStyle="1" w:styleId="40">
    <w:name w:val="Footnote Text Char1"/>
    <w:semiHidden/>
    <w:qFormat/>
    <w:locked/>
    <w:uiPriority w:val="99"/>
    <w:rPr>
      <w:rFonts w:ascii="Times New Roman" w:hAnsi="Times New Roman" w:cs="Times New Roman"/>
      <w:sz w:val="18"/>
      <w:szCs w:val="18"/>
    </w:rPr>
  </w:style>
  <w:style w:type="character" w:customStyle="1" w:styleId="41">
    <w:name w:val="脚注文本 Char"/>
    <w:link w:val="11"/>
    <w:semiHidden/>
    <w:qFormat/>
    <w:locked/>
    <w:uiPriority w:val="99"/>
    <w:rPr>
      <w:rFonts w:ascii="Times New Roman" w:hAnsi="Times New Roman" w:eastAsia="宋体" w:cs="Times New Roman"/>
      <w:sz w:val="18"/>
      <w:szCs w:val="18"/>
    </w:rPr>
  </w:style>
  <w:style w:type="character" w:customStyle="1" w:styleId="42">
    <w:name w:val="Endnote Text Char"/>
    <w:qFormat/>
    <w:locked/>
    <w:uiPriority w:val="99"/>
    <w:rPr>
      <w:rFonts w:ascii="Calibri" w:hAnsi="Calibri"/>
    </w:rPr>
  </w:style>
  <w:style w:type="character" w:customStyle="1" w:styleId="43">
    <w:name w:val="Endnote Text Char1"/>
    <w:semiHidden/>
    <w:qFormat/>
    <w:locked/>
    <w:uiPriority w:val="99"/>
    <w:rPr>
      <w:rFonts w:ascii="Times New Roman" w:hAnsi="Times New Roman" w:cs="Times New Roman"/>
      <w:sz w:val="24"/>
      <w:szCs w:val="24"/>
    </w:rPr>
  </w:style>
  <w:style w:type="character" w:customStyle="1" w:styleId="44">
    <w:name w:val="尾注文本 Char"/>
    <w:link w:val="7"/>
    <w:semiHidden/>
    <w:qFormat/>
    <w:locked/>
    <w:uiPriority w:val="99"/>
    <w:rPr>
      <w:rFonts w:ascii="Times New Roman" w:hAnsi="Times New Roman" w:eastAsia="宋体" w:cs="Times New Roman"/>
      <w:sz w:val="24"/>
      <w:szCs w:val="24"/>
    </w:rPr>
  </w:style>
  <w:style w:type="character" w:customStyle="1" w:styleId="45">
    <w:name w:val="标题 1 Char"/>
    <w:link w:val="2"/>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E62C4-C508-4290-AEDA-F1BDB1C7DA7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2101</Words>
  <Characters>11979</Characters>
  <Lines>99</Lines>
  <Paragraphs>28</Paragraphs>
  <TotalTime>894</TotalTime>
  <ScaleCrop>false</ScaleCrop>
  <LinksUpToDate>false</LinksUpToDate>
  <CharactersWithSpaces>14052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2013-07-24T08:25:00Z</dcterms:created>
  <dc:creator>CN=石微/O=xxzx</dc:creator>
  <cp:lastModifiedBy>Administrator</cp:lastModifiedBy>
  <cp:lastPrinted>2018-03-16T05:12:00Z</cp:lastPrinted>
  <dcterms:modified xsi:type="dcterms:W3CDTF">2021-10-11T07:30:20Z</dcterms:modified>
  <cp:revision>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A246A00AD5DE4328B123F9281075787C</vt:lpwstr>
  </property>
</Properties>
</file>